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2"/>
        <w:tblW w:w="9351" w:type="dxa"/>
        <w:tblLayout w:type="fixed"/>
        <w:tblLook w:val="04A0" w:firstRow="1" w:lastRow="0" w:firstColumn="1" w:lastColumn="0" w:noHBand="0" w:noVBand="1"/>
      </w:tblPr>
      <w:tblGrid>
        <w:gridCol w:w="2451"/>
        <w:gridCol w:w="6900"/>
      </w:tblGrid>
      <w:tr w:rsidR="001D5ED9" w:rsidRPr="005F054B" w14:paraId="7DA0C8F0" w14:textId="77777777">
        <w:tc>
          <w:tcPr>
            <w:tcW w:w="2451" w:type="dxa"/>
          </w:tcPr>
          <w:p w14:paraId="3182D070"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Content</w:t>
            </w:r>
          </w:p>
        </w:tc>
        <w:tc>
          <w:tcPr>
            <w:tcW w:w="6900" w:type="dxa"/>
          </w:tcPr>
          <w:p w14:paraId="02832EA3"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Guidance</w:t>
            </w:r>
          </w:p>
        </w:tc>
      </w:tr>
      <w:tr w:rsidR="001D5ED9" w:rsidRPr="005F054B" w14:paraId="182F2016" w14:textId="77777777">
        <w:tc>
          <w:tcPr>
            <w:tcW w:w="2451" w:type="dxa"/>
          </w:tcPr>
          <w:p w14:paraId="1C499DB5"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Sheet reference</w:t>
            </w:r>
          </w:p>
        </w:tc>
        <w:tc>
          <w:tcPr>
            <w:tcW w:w="6900" w:type="dxa"/>
          </w:tcPr>
          <w:p w14:paraId="4F33FAF3" w14:textId="04120198" w:rsidR="001D5ED9" w:rsidRPr="005F054B" w:rsidRDefault="001D5ED9">
            <w:pPr>
              <w:tabs>
                <w:tab w:val="clear" w:pos="567"/>
              </w:tabs>
              <w:spacing w:line="240" w:lineRule="auto"/>
              <w:rPr>
                <w:rFonts w:cs="Calibri"/>
                <w:color w:val="auto"/>
                <w:sz w:val="24"/>
              </w:rPr>
            </w:pPr>
            <w:r w:rsidRPr="005F054B">
              <w:rPr>
                <w:rFonts w:cs="Calibri"/>
                <w:color w:val="auto"/>
                <w:sz w:val="24"/>
              </w:rPr>
              <w:t>BDC</w:t>
            </w:r>
            <w:r w:rsidR="001605BE">
              <w:rPr>
                <w:rFonts w:cs="Calibri"/>
                <w:color w:val="auto"/>
                <w:sz w:val="24"/>
              </w:rPr>
              <w:t>2025</w:t>
            </w:r>
            <w:r w:rsidRPr="005F054B">
              <w:rPr>
                <w:rFonts w:cs="Calibri"/>
                <w:color w:val="auto"/>
                <w:sz w:val="24"/>
              </w:rPr>
              <w:t>/</w:t>
            </w:r>
            <w:proofErr w:type="spellStart"/>
            <w:r w:rsidRPr="005F054B">
              <w:rPr>
                <w:rFonts w:cs="Calibri"/>
                <w:color w:val="auto"/>
                <w:sz w:val="24"/>
              </w:rPr>
              <w:t>Roseate</w:t>
            </w:r>
            <w:r w:rsidR="001605BE">
              <w:rPr>
                <w:rFonts w:cs="Calibri"/>
                <w:color w:val="auto"/>
                <w:sz w:val="24"/>
              </w:rPr>
              <w:t>_</w:t>
            </w:r>
            <w:r w:rsidRPr="005F054B">
              <w:rPr>
                <w:rFonts w:cs="Calibri"/>
                <w:color w:val="auto"/>
                <w:sz w:val="24"/>
              </w:rPr>
              <w:t>tern</w:t>
            </w:r>
            <w:proofErr w:type="spellEnd"/>
          </w:p>
        </w:tc>
      </w:tr>
      <w:tr w:rsidR="001D5ED9" w:rsidRPr="005F054B" w14:paraId="64FB5357" w14:textId="77777777">
        <w:tc>
          <w:tcPr>
            <w:tcW w:w="2451" w:type="dxa"/>
          </w:tcPr>
          <w:p w14:paraId="62EE9D5E"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Area Assessed</w:t>
            </w:r>
          </w:p>
        </w:tc>
        <w:tc>
          <w:tcPr>
            <w:tcW w:w="6900" w:type="dxa"/>
          </w:tcPr>
          <w:p w14:paraId="771813E2"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OSPAR Regions where the species occurs: II, III, IV, V</w:t>
            </w:r>
          </w:p>
          <w:p w14:paraId="71BFC527"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OSPAR Regions where species </w:t>
            </w:r>
            <w:proofErr w:type="gramStart"/>
            <w:r w:rsidRPr="005F054B">
              <w:rPr>
                <w:rFonts w:cs="Calibri"/>
                <w:color w:val="auto"/>
                <w:sz w:val="24"/>
              </w:rPr>
              <w:t>is</w:t>
            </w:r>
            <w:proofErr w:type="gramEnd"/>
            <w:r w:rsidRPr="005F054B">
              <w:rPr>
                <w:rFonts w:cs="Calibri"/>
                <w:color w:val="auto"/>
                <w:sz w:val="24"/>
              </w:rPr>
              <w:t xml:space="preserve"> under threat and/or decline: II, III, IV, V</w:t>
            </w:r>
          </w:p>
        </w:tc>
      </w:tr>
      <w:tr w:rsidR="001D5ED9" w:rsidRPr="005F054B" w14:paraId="2B57D0BC" w14:textId="77777777">
        <w:tc>
          <w:tcPr>
            <w:tcW w:w="2451" w:type="dxa"/>
            <w:tcBorders>
              <w:bottom w:val="single" w:sz="4" w:space="0" w:color="auto"/>
            </w:tcBorders>
          </w:tcPr>
          <w:p w14:paraId="18B91948"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Title</w:t>
            </w:r>
          </w:p>
        </w:tc>
        <w:tc>
          <w:tcPr>
            <w:tcW w:w="6900" w:type="dxa"/>
            <w:tcBorders>
              <w:bottom w:val="single" w:sz="4" w:space="0" w:color="auto"/>
            </w:tcBorders>
          </w:tcPr>
          <w:p w14:paraId="100BAF7C" w14:textId="5D6065EA" w:rsidR="001D5ED9" w:rsidRPr="005F054B" w:rsidRDefault="001605BE" w:rsidP="001605BE">
            <w:pPr>
              <w:tabs>
                <w:tab w:val="clear" w:pos="567"/>
              </w:tabs>
              <w:spacing w:after="0" w:line="240" w:lineRule="auto"/>
              <w:contextualSpacing/>
              <w:rPr>
                <w:rFonts w:cs="Calibri"/>
                <w:color w:val="auto"/>
                <w:sz w:val="24"/>
              </w:rPr>
            </w:pPr>
            <w:r>
              <w:rPr>
                <w:rFonts w:cs="Calibri"/>
                <w:color w:val="auto"/>
                <w:sz w:val="24"/>
              </w:rPr>
              <w:t>S</w:t>
            </w:r>
            <w:r w:rsidRPr="005F054B">
              <w:rPr>
                <w:rFonts w:cs="Calibri"/>
                <w:color w:val="auto"/>
                <w:sz w:val="24"/>
              </w:rPr>
              <w:t xml:space="preserve">tatus </w:t>
            </w:r>
            <w:r>
              <w:rPr>
                <w:rFonts w:cs="Calibri"/>
                <w:color w:val="auto"/>
                <w:sz w:val="24"/>
              </w:rPr>
              <w:t>A</w:t>
            </w:r>
            <w:r w:rsidRPr="005F054B">
              <w:rPr>
                <w:rFonts w:cs="Calibri"/>
                <w:color w:val="auto"/>
                <w:sz w:val="24"/>
              </w:rPr>
              <w:t>ssessment</w:t>
            </w:r>
            <w:r w:rsidRPr="005F054B">
              <w:rPr>
                <w:rFonts w:cs="Calibri"/>
                <w:color w:val="auto"/>
                <w:sz w:val="24"/>
              </w:rPr>
              <w:t xml:space="preserve"> </w:t>
            </w:r>
            <w:r>
              <w:rPr>
                <w:rFonts w:cs="Calibri"/>
                <w:color w:val="auto"/>
                <w:sz w:val="24"/>
              </w:rPr>
              <w:t xml:space="preserve">2025 - </w:t>
            </w:r>
            <w:r w:rsidR="001D5ED9" w:rsidRPr="005F054B">
              <w:rPr>
                <w:rFonts w:cs="Calibri"/>
                <w:color w:val="auto"/>
                <w:sz w:val="24"/>
              </w:rPr>
              <w:t xml:space="preserve">Roseate </w:t>
            </w:r>
            <w:r>
              <w:rPr>
                <w:rFonts w:cs="Calibri"/>
                <w:color w:val="auto"/>
                <w:sz w:val="24"/>
              </w:rPr>
              <w:t>T</w:t>
            </w:r>
            <w:r w:rsidR="001D5ED9" w:rsidRPr="005F054B">
              <w:rPr>
                <w:rFonts w:cs="Calibri"/>
                <w:color w:val="auto"/>
                <w:sz w:val="24"/>
              </w:rPr>
              <w:t>ern</w:t>
            </w:r>
          </w:p>
        </w:tc>
      </w:tr>
    </w:tbl>
    <w:p w14:paraId="62EF87F9" w14:textId="77777777" w:rsidR="001D5ED9" w:rsidRPr="005F054B" w:rsidRDefault="001D5ED9" w:rsidP="001D5ED9">
      <w:pPr>
        <w:tabs>
          <w:tab w:val="clear" w:pos="567"/>
        </w:tabs>
        <w:spacing w:after="160" w:line="259" w:lineRule="auto"/>
        <w:rPr>
          <w:rFonts w:eastAsia="Calibri"/>
          <w:color w:val="auto"/>
          <w:szCs w:val="22"/>
        </w:rPr>
      </w:pPr>
    </w:p>
    <w:p w14:paraId="1A4046D5" w14:textId="77777777" w:rsidR="001D5ED9" w:rsidRPr="005F054B" w:rsidRDefault="001D5ED9" w:rsidP="001D5ED9">
      <w:pPr>
        <w:tabs>
          <w:tab w:val="clear" w:pos="567"/>
        </w:tabs>
        <w:spacing w:after="160" w:line="259" w:lineRule="auto"/>
        <w:rPr>
          <w:rFonts w:eastAsia="Calibri"/>
          <w:color w:val="auto"/>
          <w:szCs w:val="22"/>
        </w:rPr>
        <w:sectPr w:rsidR="001D5ED9" w:rsidRPr="005F054B" w:rsidSect="001D5ED9">
          <w:footerReference w:type="default" r:id="rId8"/>
          <w:pgSz w:w="11906" w:h="16838"/>
          <w:pgMar w:top="1440" w:right="1440" w:bottom="1440" w:left="1440" w:header="708" w:footer="708" w:gutter="0"/>
          <w:cols w:space="708"/>
          <w:docGrid w:linePitch="360"/>
        </w:sectPr>
      </w:pPr>
    </w:p>
    <w:p w14:paraId="2EEA1805" w14:textId="77777777" w:rsidR="001D5ED9" w:rsidRPr="005F054B" w:rsidRDefault="001D5ED9" w:rsidP="001D5ED9">
      <w:pPr>
        <w:tabs>
          <w:tab w:val="clear" w:pos="567"/>
        </w:tabs>
        <w:spacing w:after="160" w:line="259" w:lineRule="auto"/>
        <w:rPr>
          <w:rFonts w:eastAsia="Calibri"/>
          <w:color w:val="auto"/>
          <w:szCs w:val="22"/>
        </w:rPr>
      </w:pPr>
    </w:p>
    <w:tbl>
      <w:tblPr>
        <w:tblStyle w:val="TableGrid12"/>
        <w:tblW w:w="13036" w:type="dxa"/>
        <w:tblLayout w:type="fixed"/>
        <w:tblLook w:val="04A0" w:firstRow="1" w:lastRow="0" w:firstColumn="1" w:lastColumn="0" w:noHBand="0" w:noVBand="1"/>
      </w:tblPr>
      <w:tblGrid>
        <w:gridCol w:w="2451"/>
        <w:gridCol w:w="10585"/>
      </w:tblGrid>
      <w:tr w:rsidR="001D5ED9" w:rsidRPr="005F054B" w14:paraId="6D80FE5D" w14:textId="77777777">
        <w:tc>
          <w:tcPr>
            <w:tcW w:w="2451" w:type="dxa"/>
          </w:tcPr>
          <w:p w14:paraId="65A84BF5"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Key message</w:t>
            </w:r>
          </w:p>
          <w:p w14:paraId="0476F589" w14:textId="4FC6BDB4" w:rsidR="001D5ED9" w:rsidRPr="005F054B" w:rsidRDefault="001D5ED9">
            <w:pPr>
              <w:tabs>
                <w:tab w:val="clear" w:pos="567"/>
              </w:tabs>
              <w:spacing w:line="240" w:lineRule="auto"/>
              <w:rPr>
                <w:rFonts w:cs="Calibri"/>
                <w:color w:val="auto"/>
                <w:sz w:val="24"/>
              </w:rPr>
            </w:pPr>
          </w:p>
        </w:tc>
        <w:tc>
          <w:tcPr>
            <w:tcW w:w="10585" w:type="dxa"/>
          </w:tcPr>
          <w:p w14:paraId="62B64216" w14:textId="52F2D226" w:rsidR="001D5ED9" w:rsidRPr="005F054B" w:rsidRDefault="001D5ED9">
            <w:pPr>
              <w:tabs>
                <w:tab w:val="clear" w:pos="567"/>
              </w:tabs>
              <w:spacing w:line="240" w:lineRule="auto"/>
              <w:rPr>
                <w:rFonts w:cs="Calibri"/>
                <w:color w:val="auto"/>
                <w:sz w:val="24"/>
              </w:rPr>
            </w:pPr>
            <w:bookmarkStart w:id="0" w:name="_Hlk203640345"/>
            <w:r w:rsidRPr="005F054B">
              <w:rPr>
                <w:rFonts w:cs="Calibri"/>
                <w:color w:val="auto"/>
                <w:sz w:val="24"/>
              </w:rPr>
              <w:t>Since the first status assessment in 2009, there ha</w:t>
            </w:r>
            <w:r w:rsidR="005231BE">
              <w:rPr>
                <w:rFonts w:cs="Calibri"/>
                <w:color w:val="auto"/>
                <w:sz w:val="24"/>
              </w:rPr>
              <w:t>ve</w:t>
            </w:r>
            <w:r w:rsidRPr="005F054B">
              <w:rPr>
                <w:rFonts w:cs="Calibri"/>
                <w:color w:val="auto"/>
                <w:sz w:val="24"/>
              </w:rPr>
              <w:t xml:space="preserve"> been considerable improvements in the status of Roseate tern, mostly in </w:t>
            </w:r>
            <w:r w:rsidR="001537C0" w:rsidRPr="001537C0">
              <w:rPr>
                <w:rFonts w:cs="Calibri"/>
                <w:color w:val="auto"/>
                <w:sz w:val="24"/>
              </w:rPr>
              <w:t xml:space="preserve">Greater North Sea </w:t>
            </w:r>
            <w:r w:rsidR="001537C0">
              <w:rPr>
                <w:rFonts w:cs="Calibri"/>
                <w:color w:val="auto"/>
                <w:sz w:val="24"/>
              </w:rPr>
              <w:t>(</w:t>
            </w:r>
            <w:r w:rsidR="004C4A95">
              <w:rPr>
                <w:rFonts w:cs="Calibri"/>
                <w:color w:val="auto"/>
                <w:sz w:val="24"/>
              </w:rPr>
              <w:t>Region II)</w:t>
            </w:r>
            <w:r w:rsidR="005231BE">
              <w:rPr>
                <w:rFonts w:cs="Calibri"/>
                <w:color w:val="auto"/>
                <w:sz w:val="24"/>
              </w:rPr>
              <w:t xml:space="preserve"> and </w:t>
            </w:r>
            <w:r w:rsidR="001537C0">
              <w:rPr>
                <w:rFonts w:cs="Calibri"/>
                <w:color w:val="auto"/>
                <w:sz w:val="24"/>
              </w:rPr>
              <w:t>Celtic Seas (</w:t>
            </w:r>
            <w:r w:rsidR="004C4A95">
              <w:rPr>
                <w:rFonts w:cs="Calibri"/>
                <w:color w:val="auto"/>
                <w:sz w:val="24"/>
              </w:rPr>
              <w:t>Region III)</w:t>
            </w:r>
            <w:r w:rsidRPr="005F054B">
              <w:rPr>
                <w:rFonts w:cs="Calibri"/>
                <w:color w:val="auto"/>
                <w:sz w:val="24"/>
              </w:rPr>
              <w:t xml:space="preserve">, although the size of those populations </w:t>
            </w:r>
            <w:r w:rsidR="005231BE" w:rsidRPr="005F054B">
              <w:rPr>
                <w:rFonts w:cs="Calibri"/>
                <w:color w:val="auto"/>
                <w:sz w:val="24"/>
              </w:rPr>
              <w:t>is</w:t>
            </w:r>
            <w:r w:rsidRPr="005F054B">
              <w:rPr>
                <w:rFonts w:cs="Calibri"/>
                <w:color w:val="auto"/>
                <w:sz w:val="24"/>
              </w:rPr>
              <w:t xml:space="preserve"> far below the historic numbers found in the 1960s (used here as baseline). In </w:t>
            </w:r>
            <w:r w:rsidR="001537C0">
              <w:rPr>
                <w:rFonts w:cs="Calibri"/>
                <w:color w:val="auto"/>
                <w:sz w:val="24"/>
              </w:rPr>
              <w:t>the Wider Atlantic (</w:t>
            </w:r>
            <w:r w:rsidR="004C4A95">
              <w:rPr>
                <w:rFonts w:cs="Calibri"/>
                <w:color w:val="auto"/>
                <w:sz w:val="24"/>
              </w:rPr>
              <w:t>Region V</w:t>
            </w:r>
            <w:r w:rsidR="001537C0">
              <w:rPr>
                <w:rFonts w:cs="Calibri"/>
                <w:color w:val="auto"/>
                <w:sz w:val="24"/>
              </w:rPr>
              <w:t xml:space="preserve">), </w:t>
            </w:r>
            <w:r w:rsidRPr="005F054B">
              <w:rPr>
                <w:rFonts w:cs="Calibri"/>
                <w:color w:val="auto"/>
                <w:sz w:val="24"/>
              </w:rPr>
              <w:t xml:space="preserve">both distribution and population size are apparently stable although monitoring on the condition (breeding productivity and individual survival) of this population is missing. </w:t>
            </w:r>
          </w:p>
          <w:bookmarkEnd w:id="0"/>
          <w:p w14:paraId="0512447A" w14:textId="77777777" w:rsidR="001D5ED9" w:rsidRPr="005F054B" w:rsidRDefault="001D5ED9">
            <w:pPr>
              <w:tabs>
                <w:tab w:val="clear" w:pos="567"/>
              </w:tabs>
              <w:spacing w:after="0" w:line="240" w:lineRule="auto"/>
              <w:rPr>
                <w:rFonts w:cs="Calibri"/>
                <w:color w:val="auto"/>
                <w:sz w:val="18"/>
                <w:szCs w:val="18"/>
              </w:rPr>
            </w:pP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1084"/>
              <w:gridCol w:w="455"/>
              <w:gridCol w:w="1298"/>
              <w:gridCol w:w="1312"/>
              <w:gridCol w:w="2174"/>
              <w:gridCol w:w="2011"/>
              <w:gridCol w:w="692"/>
            </w:tblGrid>
            <w:tr w:rsidR="0059651F" w:rsidRPr="0059651F" w14:paraId="541AEE5C" w14:textId="77777777" w:rsidTr="0059651F">
              <w:trPr>
                <w:tblHeader/>
                <w:tblCellSpacing w:w="7" w:type="dxa"/>
              </w:trPr>
              <w:tc>
                <w:tcPr>
                  <w:tcW w:w="1518" w:type="dxa"/>
                  <w:gridSpan w:val="2"/>
                  <w:vAlign w:val="center"/>
                  <w:hideMark/>
                </w:tcPr>
                <w:p w14:paraId="75C413E7" w14:textId="77777777" w:rsidR="0059651F" w:rsidRPr="0059651F" w:rsidRDefault="0059651F" w:rsidP="0059651F">
                  <w:pPr>
                    <w:tabs>
                      <w:tab w:val="clear" w:pos="567"/>
                    </w:tabs>
                    <w:spacing w:after="0" w:line="240" w:lineRule="auto"/>
                    <w:jc w:val="center"/>
                    <w:rPr>
                      <w:rFonts w:asciiTheme="minorHAnsi" w:hAnsiTheme="minorHAnsi" w:cstheme="minorHAnsi"/>
                      <w:b/>
                      <w:bCs/>
                      <w:color w:val="auto"/>
                      <w:szCs w:val="22"/>
                      <w:lang w:eastAsia="en-GB"/>
                    </w:rPr>
                  </w:pPr>
                  <w:r w:rsidRPr="0059651F">
                    <w:rPr>
                      <w:rFonts w:asciiTheme="minorHAnsi" w:hAnsiTheme="minorHAnsi" w:cstheme="minorHAnsi"/>
                      <w:b/>
                      <w:bCs/>
                      <w:color w:val="auto"/>
                      <w:szCs w:val="22"/>
                      <w:lang w:eastAsia="en-GB"/>
                    </w:rPr>
                    <w:t>Assessment of status</w:t>
                  </w:r>
                </w:p>
              </w:tc>
              <w:tc>
                <w:tcPr>
                  <w:tcW w:w="1284" w:type="dxa"/>
                  <w:vAlign w:val="center"/>
                  <w:hideMark/>
                </w:tcPr>
                <w:p w14:paraId="7E3C7D40" w14:textId="77777777" w:rsidR="0059651F" w:rsidRPr="0059651F" w:rsidRDefault="0059651F" w:rsidP="0059651F">
                  <w:pPr>
                    <w:tabs>
                      <w:tab w:val="clear" w:pos="567"/>
                    </w:tabs>
                    <w:spacing w:after="0" w:line="240" w:lineRule="auto"/>
                    <w:jc w:val="center"/>
                    <w:rPr>
                      <w:rFonts w:asciiTheme="minorHAnsi" w:hAnsiTheme="minorHAnsi" w:cstheme="minorHAnsi"/>
                      <w:b/>
                      <w:bCs/>
                      <w:color w:val="auto"/>
                      <w:szCs w:val="22"/>
                      <w:lang w:eastAsia="en-GB"/>
                    </w:rPr>
                  </w:pPr>
                  <w:r w:rsidRPr="0059651F">
                    <w:rPr>
                      <w:rFonts w:asciiTheme="minorHAnsi" w:hAnsiTheme="minorHAnsi" w:cstheme="minorHAnsi"/>
                      <w:b/>
                      <w:bCs/>
                      <w:color w:val="auto"/>
                      <w:szCs w:val="22"/>
                      <w:lang w:eastAsia="en-GB"/>
                    </w:rPr>
                    <w:t>Distribution</w:t>
                  </w:r>
                </w:p>
              </w:tc>
              <w:tc>
                <w:tcPr>
                  <w:tcW w:w="1298" w:type="dxa"/>
                  <w:vAlign w:val="center"/>
                  <w:hideMark/>
                </w:tcPr>
                <w:p w14:paraId="719DF5A9" w14:textId="77777777" w:rsidR="0059651F" w:rsidRPr="0059651F" w:rsidRDefault="0059651F" w:rsidP="0059651F">
                  <w:pPr>
                    <w:tabs>
                      <w:tab w:val="clear" w:pos="567"/>
                    </w:tabs>
                    <w:spacing w:after="0" w:line="240" w:lineRule="auto"/>
                    <w:jc w:val="center"/>
                    <w:rPr>
                      <w:rFonts w:asciiTheme="minorHAnsi" w:hAnsiTheme="minorHAnsi" w:cstheme="minorHAnsi"/>
                      <w:b/>
                      <w:bCs/>
                      <w:color w:val="auto"/>
                      <w:szCs w:val="22"/>
                      <w:lang w:eastAsia="en-GB"/>
                    </w:rPr>
                  </w:pPr>
                  <w:r w:rsidRPr="0059651F">
                    <w:rPr>
                      <w:rFonts w:asciiTheme="minorHAnsi" w:hAnsiTheme="minorHAnsi" w:cstheme="minorHAnsi"/>
                      <w:b/>
                      <w:bCs/>
                      <w:color w:val="auto"/>
                      <w:szCs w:val="22"/>
                      <w:lang w:eastAsia="en-GB"/>
                    </w:rPr>
                    <w:t>Population size</w:t>
                  </w:r>
                </w:p>
              </w:tc>
              <w:tc>
                <w:tcPr>
                  <w:tcW w:w="2160" w:type="dxa"/>
                  <w:vAlign w:val="center"/>
                  <w:hideMark/>
                </w:tcPr>
                <w:p w14:paraId="53E64682" w14:textId="77777777" w:rsidR="0059651F" w:rsidRPr="0059651F" w:rsidRDefault="0059651F" w:rsidP="0059651F">
                  <w:pPr>
                    <w:tabs>
                      <w:tab w:val="clear" w:pos="567"/>
                    </w:tabs>
                    <w:spacing w:after="0" w:line="240" w:lineRule="auto"/>
                    <w:jc w:val="center"/>
                    <w:rPr>
                      <w:rFonts w:asciiTheme="minorHAnsi" w:hAnsiTheme="minorHAnsi" w:cstheme="minorHAnsi"/>
                      <w:b/>
                      <w:bCs/>
                      <w:color w:val="auto"/>
                      <w:szCs w:val="22"/>
                      <w:lang w:eastAsia="en-GB"/>
                    </w:rPr>
                  </w:pPr>
                  <w:r w:rsidRPr="0059651F">
                    <w:rPr>
                      <w:rFonts w:asciiTheme="minorHAnsi" w:hAnsiTheme="minorHAnsi" w:cstheme="minorHAnsi"/>
                      <w:b/>
                      <w:bCs/>
                      <w:color w:val="auto"/>
                      <w:szCs w:val="22"/>
                      <w:lang w:eastAsia="en-GB"/>
                    </w:rPr>
                    <w:t>Demographics, e.g. productivity</w:t>
                  </w:r>
                </w:p>
              </w:tc>
              <w:tc>
                <w:tcPr>
                  <w:tcW w:w="1997" w:type="dxa"/>
                  <w:vAlign w:val="center"/>
                  <w:hideMark/>
                </w:tcPr>
                <w:p w14:paraId="442BDBA4" w14:textId="77777777" w:rsidR="0059651F" w:rsidRPr="0059651F" w:rsidRDefault="0059651F" w:rsidP="0059651F">
                  <w:pPr>
                    <w:tabs>
                      <w:tab w:val="clear" w:pos="567"/>
                    </w:tabs>
                    <w:spacing w:after="0" w:line="240" w:lineRule="auto"/>
                    <w:jc w:val="center"/>
                    <w:rPr>
                      <w:rFonts w:asciiTheme="minorHAnsi" w:hAnsiTheme="minorHAnsi" w:cstheme="minorHAnsi"/>
                      <w:b/>
                      <w:bCs/>
                      <w:color w:val="auto"/>
                      <w:szCs w:val="22"/>
                      <w:lang w:eastAsia="en-GB"/>
                    </w:rPr>
                  </w:pPr>
                  <w:r w:rsidRPr="0059651F">
                    <w:rPr>
                      <w:rFonts w:asciiTheme="minorHAnsi" w:hAnsiTheme="minorHAnsi" w:cstheme="minorHAnsi"/>
                      <w:b/>
                      <w:bCs/>
                      <w:color w:val="auto"/>
                      <w:szCs w:val="22"/>
                      <w:lang w:eastAsia="en-GB"/>
                    </w:rPr>
                    <w:t>Previous OSPAR status assessment</w:t>
                  </w:r>
                </w:p>
              </w:tc>
              <w:tc>
                <w:tcPr>
                  <w:tcW w:w="671" w:type="dxa"/>
                  <w:vAlign w:val="center"/>
                  <w:hideMark/>
                </w:tcPr>
                <w:p w14:paraId="61960A6D" w14:textId="77777777" w:rsidR="0059651F" w:rsidRPr="0059651F" w:rsidRDefault="0059651F" w:rsidP="0059651F">
                  <w:pPr>
                    <w:tabs>
                      <w:tab w:val="clear" w:pos="567"/>
                    </w:tabs>
                    <w:spacing w:after="0" w:line="240" w:lineRule="auto"/>
                    <w:jc w:val="center"/>
                    <w:rPr>
                      <w:rFonts w:asciiTheme="minorHAnsi" w:hAnsiTheme="minorHAnsi" w:cstheme="minorHAnsi"/>
                      <w:b/>
                      <w:bCs/>
                      <w:color w:val="auto"/>
                      <w:szCs w:val="22"/>
                      <w:lang w:eastAsia="en-GB"/>
                    </w:rPr>
                  </w:pPr>
                  <w:r w:rsidRPr="0059651F">
                    <w:rPr>
                      <w:rFonts w:asciiTheme="minorHAnsi" w:hAnsiTheme="minorHAnsi" w:cstheme="minorHAnsi"/>
                      <w:b/>
                      <w:bCs/>
                      <w:color w:val="auto"/>
                      <w:szCs w:val="22"/>
                      <w:lang w:eastAsia="en-GB"/>
                    </w:rPr>
                    <w:t>Status</w:t>
                  </w:r>
                </w:p>
              </w:tc>
            </w:tr>
            <w:tr w:rsidR="0059651F" w:rsidRPr="0059651F" w14:paraId="0FA179D4" w14:textId="77777777" w:rsidTr="0059651F">
              <w:trPr>
                <w:tblCellSpacing w:w="7" w:type="dxa"/>
              </w:trPr>
              <w:tc>
                <w:tcPr>
                  <w:tcW w:w="1063" w:type="dxa"/>
                  <w:vMerge w:val="restart"/>
                  <w:vAlign w:val="center"/>
                  <w:hideMark/>
                </w:tcPr>
                <w:p w14:paraId="28371571" w14:textId="77777777" w:rsidR="0059651F" w:rsidRPr="0059651F" w:rsidRDefault="0059651F" w:rsidP="0059651F">
                  <w:pPr>
                    <w:tabs>
                      <w:tab w:val="clear" w:pos="567"/>
                    </w:tabs>
                    <w:spacing w:after="0" w:line="240" w:lineRule="auto"/>
                    <w:jc w:val="center"/>
                    <w:rPr>
                      <w:rFonts w:asciiTheme="minorHAnsi" w:hAnsiTheme="minorHAnsi" w:cstheme="minorHAnsi"/>
                      <w:b/>
                      <w:bCs/>
                      <w:color w:val="auto"/>
                      <w:szCs w:val="22"/>
                      <w:lang w:eastAsia="en-GB"/>
                    </w:rPr>
                  </w:pPr>
                  <w:r w:rsidRPr="0059651F">
                    <w:rPr>
                      <w:rFonts w:asciiTheme="minorHAnsi" w:hAnsiTheme="minorHAnsi" w:cstheme="minorHAnsi"/>
                      <w:b/>
                      <w:bCs/>
                      <w:color w:val="auto"/>
                      <w:szCs w:val="22"/>
                      <w:lang w:eastAsia="en-GB"/>
                    </w:rPr>
                    <w:br/>
                  </w:r>
                  <w:r w:rsidRPr="0059651F">
                    <w:rPr>
                      <w:rFonts w:asciiTheme="minorHAnsi" w:hAnsiTheme="minorHAnsi" w:cstheme="minorHAnsi"/>
                      <w:b/>
                      <w:bCs/>
                      <w:color w:val="auto"/>
                      <w:szCs w:val="22"/>
                      <w:lang w:eastAsia="en-GB"/>
                    </w:rPr>
                    <w:br/>
                  </w:r>
                  <w:r w:rsidRPr="0059651F">
                    <w:rPr>
                      <w:rFonts w:asciiTheme="minorHAnsi" w:hAnsiTheme="minorHAnsi" w:cstheme="minorHAnsi"/>
                      <w:b/>
                      <w:bCs/>
                      <w:color w:val="auto"/>
                      <w:szCs w:val="22"/>
                      <w:lang w:eastAsia="en-GB"/>
                    </w:rPr>
                    <w:br/>
                    <w:t>Region</w:t>
                  </w:r>
                </w:p>
              </w:tc>
              <w:tc>
                <w:tcPr>
                  <w:tcW w:w="441" w:type="dxa"/>
                  <w:vAlign w:val="center"/>
                  <w:hideMark/>
                </w:tcPr>
                <w:p w14:paraId="643E579B"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b/>
                      <w:bCs/>
                      <w:color w:val="auto"/>
                      <w:szCs w:val="22"/>
                      <w:lang w:eastAsia="en-GB"/>
                    </w:rPr>
                    <w:t>I</w:t>
                  </w:r>
                </w:p>
              </w:tc>
              <w:tc>
                <w:tcPr>
                  <w:tcW w:w="1284" w:type="dxa"/>
                  <w:vAlign w:val="center"/>
                  <w:hideMark/>
                </w:tcPr>
                <w:p w14:paraId="46B3C10E"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 </w:t>
                  </w:r>
                </w:p>
              </w:tc>
              <w:tc>
                <w:tcPr>
                  <w:tcW w:w="1298" w:type="dxa"/>
                  <w:vAlign w:val="center"/>
                  <w:hideMark/>
                </w:tcPr>
                <w:p w14:paraId="79021791"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 </w:t>
                  </w:r>
                </w:p>
              </w:tc>
              <w:tc>
                <w:tcPr>
                  <w:tcW w:w="2160" w:type="dxa"/>
                  <w:vAlign w:val="center"/>
                  <w:hideMark/>
                </w:tcPr>
                <w:p w14:paraId="604EFB94"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 </w:t>
                  </w:r>
                </w:p>
              </w:tc>
              <w:tc>
                <w:tcPr>
                  <w:tcW w:w="1997" w:type="dxa"/>
                  <w:vAlign w:val="center"/>
                  <w:hideMark/>
                </w:tcPr>
                <w:p w14:paraId="511637CE"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 </w:t>
                  </w:r>
                </w:p>
              </w:tc>
              <w:tc>
                <w:tcPr>
                  <w:tcW w:w="671" w:type="dxa"/>
                  <w:vAlign w:val="center"/>
                  <w:hideMark/>
                </w:tcPr>
                <w:p w14:paraId="5C67A7E9"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NA</w:t>
                  </w:r>
                </w:p>
              </w:tc>
            </w:tr>
            <w:tr w:rsidR="0059651F" w:rsidRPr="0059651F" w14:paraId="60D261A8" w14:textId="77777777" w:rsidTr="0059651F">
              <w:trPr>
                <w:tblCellSpacing w:w="7" w:type="dxa"/>
              </w:trPr>
              <w:tc>
                <w:tcPr>
                  <w:tcW w:w="1063" w:type="dxa"/>
                  <w:vMerge/>
                  <w:vAlign w:val="center"/>
                  <w:hideMark/>
                </w:tcPr>
                <w:p w14:paraId="40CB67DF" w14:textId="77777777" w:rsidR="0059651F" w:rsidRPr="0059651F" w:rsidRDefault="0059651F" w:rsidP="0059651F">
                  <w:pPr>
                    <w:tabs>
                      <w:tab w:val="clear" w:pos="567"/>
                    </w:tabs>
                    <w:spacing w:after="0" w:line="240" w:lineRule="auto"/>
                    <w:jc w:val="left"/>
                    <w:rPr>
                      <w:rFonts w:asciiTheme="minorHAnsi" w:hAnsiTheme="minorHAnsi" w:cstheme="minorHAnsi"/>
                      <w:b/>
                      <w:bCs/>
                      <w:color w:val="auto"/>
                      <w:szCs w:val="22"/>
                      <w:lang w:eastAsia="en-GB"/>
                    </w:rPr>
                  </w:pPr>
                </w:p>
              </w:tc>
              <w:tc>
                <w:tcPr>
                  <w:tcW w:w="441" w:type="dxa"/>
                  <w:vAlign w:val="center"/>
                  <w:hideMark/>
                </w:tcPr>
                <w:p w14:paraId="565CB625"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b/>
                      <w:bCs/>
                      <w:color w:val="auto"/>
                      <w:szCs w:val="22"/>
                      <w:lang w:eastAsia="en-GB"/>
                    </w:rPr>
                    <w:t>II</w:t>
                  </w:r>
                </w:p>
              </w:tc>
              <w:tc>
                <w:tcPr>
                  <w:tcW w:w="1284" w:type="dxa"/>
                  <w:shd w:val="clear" w:color="auto" w:fill="FF0000"/>
                  <w:vAlign w:val="center"/>
                  <w:hideMark/>
                </w:tcPr>
                <w:p w14:paraId="3DC48501"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1298" w:type="dxa"/>
                  <w:shd w:val="clear" w:color="auto" w:fill="FF0000"/>
                  <w:vAlign w:val="center"/>
                  <w:hideMark/>
                </w:tcPr>
                <w:p w14:paraId="372F4FDB"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1</w:t>
                  </w:r>
                </w:p>
              </w:tc>
              <w:tc>
                <w:tcPr>
                  <w:tcW w:w="2160" w:type="dxa"/>
                  <w:shd w:val="clear" w:color="auto" w:fill="00FF00"/>
                  <w:vAlign w:val="center"/>
                  <w:hideMark/>
                </w:tcPr>
                <w:p w14:paraId="2D174BE4"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1</w:t>
                  </w:r>
                </w:p>
              </w:tc>
              <w:tc>
                <w:tcPr>
                  <w:tcW w:w="1997" w:type="dxa"/>
                  <w:vAlign w:val="center"/>
                  <w:hideMark/>
                </w:tcPr>
                <w:p w14:paraId="71C740AB" w14:textId="77777777" w:rsidR="0059651F" w:rsidRPr="0059651F" w:rsidRDefault="0059651F" w:rsidP="0059651F">
                  <w:pPr>
                    <w:tabs>
                      <w:tab w:val="clear" w:pos="567"/>
                    </w:tabs>
                    <w:spacing w:before="100" w:beforeAutospacing="1" w:after="100" w:afterAutospacing="1"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p>
              </w:tc>
              <w:tc>
                <w:tcPr>
                  <w:tcW w:w="671" w:type="dxa"/>
                  <w:shd w:val="clear" w:color="auto" w:fill="FF0000"/>
                  <w:vAlign w:val="center"/>
                  <w:hideMark/>
                </w:tcPr>
                <w:p w14:paraId="0408CDF8"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Poor</w:t>
                  </w:r>
                </w:p>
              </w:tc>
            </w:tr>
            <w:tr w:rsidR="0059651F" w:rsidRPr="0059651F" w14:paraId="08FDF080" w14:textId="77777777" w:rsidTr="0059651F">
              <w:trPr>
                <w:tblCellSpacing w:w="7" w:type="dxa"/>
              </w:trPr>
              <w:tc>
                <w:tcPr>
                  <w:tcW w:w="1063" w:type="dxa"/>
                  <w:vMerge/>
                  <w:vAlign w:val="center"/>
                  <w:hideMark/>
                </w:tcPr>
                <w:p w14:paraId="01F95D93" w14:textId="77777777" w:rsidR="0059651F" w:rsidRPr="0059651F" w:rsidRDefault="0059651F" w:rsidP="0059651F">
                  <w:pPr>
                    <w:tabs>
                      <w:tab w:val="clear" w:pos="567"/>
                    </w:tabs>
                    <w:spacing w:after="0" w:line="240" w:lineRule="auto"/>
                    <w:jc w:val="left"/>
                    <w:rPr>
                      <w:rFonts w:asciiTheme="minorHAnsi" w:hAnsiTheme="minorHAnsi" w:cstheme="minorHAnsi"/>
                      <w:b/>
                      <w:bCs/>
                      <w:color w:val="auto"/>
                      <w:szCs w:val="22"/>
                      <w:lang w:eastAsia="en-GB"/>
                    </w:rPr>
                  </w:pPr>
                </w:p>
              </w:tc>
              <w:tc>
                <w:tcPr>
                  <w:tcW w:w="441" w:type="dxa"/>
                  <w:vAlign w:val="center"/>
                  <w:hideMark/>
                </w:tcPr>
                <w:p w14:paraId="56878753"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b/>
                      <w:bCs/>
                      <w:color w:val="auto"/>
                      <w:szCs w:val="22"/>
                      <w:lang w:eastAsia="en-GB"/>
                    </w:rPr>
                    <w:t>III</w:t>
                  </w:r>
                </w:p>
              </w:tc>
              <w:tc>
                <w:tcPr>
                  <w:tcW w:w="1284" w:type="dxa"/>
                  <w:shd w:val="clear" w:color="auto" w:fill="FF0000"/>
                  <w:vAlign w:val="center"/>
                  <w:hideMark/>
                </w:tcPr>
                <w:p w14:paraId="285F5A77"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1298" w:type="dxa"/>
                  <w:shd w:val="clear" w:color="auto" w:fill="FF0000"/>
                  <w:vAlign w:val="center"/>
                  <w:hideMark/>
                </w:tcPr>
                <w:p w14:paraId="6D1E5381"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1</w:t>
                  </w:r>
                  <w:r w:rsidRPr="0059651F">
                    <w:rPr>
                      <w:rFonts w:asciiTheme="minorHAnsi" w:hAnsiTheme="minorHAnsi" w:cstheme="minorHAnsi"/>
                      <w:color w:val="auto"/>
                      <w:szCs w:val="22"/>
                      <w:lang w:eastAsia="en-GB"/>
                    </w:rPr>
                    <w:t xml:space="preserve">  </w:t>
                  </w:r>
                </w:p>
              </w:tc>
              <w:tc>
                <w:tcPr>
                  <w:tcW w:w="2160" w:type="dxa"/>
                  <w:shd w:val="clear" w:color="auto" w:fill="00FF00"/>
                  <w:vAlign w:val="center"/>
                  <w:hideMark/>
                </w:tcPr>
                <w:p w14:paraId="3F76789F"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1</w:t>
                  </w:r>
                </w:p>
              </w:tc>
              <w:tc>
                <w:tcPr>
                  <w:tcW w:w="1997" w:type="dxa"/>
                  <w:vAlign w:val="center"/>
                  <w:hideMark/>
                </w:tcPr>
                <w:p w14:paraId="3EFE2FDF" w14:textId="77777777" w:rsidR="0059651F" w:rsidRPr="0059651F" w:rsidRDefault="0059651F" w:rsidP="0059651F">
                  <w:pPr>
                    <w:tabs>
                      <w:tab w:val="clear" w:pos="567"/>
                    </w:tabs>
                    <w:spacing w:before="100" w:beforeAutospacing="1" w:after="100" w:afterAutospacing="1"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p>
              </w:tc>
              <w:tc>
                <w:tcPr>
                  <w:tcW w:w="671" w:type="dxa"/>
                  <w:shd w:val="clear" w:color="auto" w:fill="FF0000"/>
                  <w:vAlign w:val="center"/>
                  <w:hideMark/>
                </w:tcPr>
                <w:p w14:paraId="387F5C1F"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Poor</w:t>
                  </w:r>
                </w:p>
              </w:tc>
            </w:tr>
            <w:tr w:rsidR="0059651F" w:rsidRPr="0059651F" w14:paraId="10471118" w14:textId="77777777" w:rsidTr="0059651F">
              <w:trPr>
                <w:tblCellSpacing w:w="7" w:type="dxa"/>
              </w:trPr>
              <w:tc>
                <w:tcPr>
                  <w:tcW w:w="1063" w:type="dxa"/>
                  <w:vMerge/>
                  <w:vAlign w:val="center"/>
                  <w:hideMark/>
                </w:tcPr>
                <w:p w14:paraId="11000CCF" w14:textId="77777777" w:rsidR="0059651F" w:rsidRPr="0059651F" w:rsidRDefault="0059651F" w:rsidP="0059651F">
                  <w:pPr>
                    <w:tabs>
                      <w:tab w:val="clear" w:pos="567"/>
                    </w:tabs>
                    <w:spacing w:after="0" w:line="240" w:lineRule="auto"/>
                    <w:jc w:val="left"/>
                    <w:rPr>
                      <w:rFonts w:asciiTheme="minorHAnsi" w:hAnsiTheme="minorHAnsi" w:cstheme="minorHAnsi"/>
                      <w:b/>
                      <w:bCs/>
                      <w:color w:val="auto"/>
                      <w:szCs w:val="22"/>
                      <w:lang w:eastAsia="en-GB"/>
                    </w:rPr>
                  </w:pPr>
                </w:p>
              </w:tc>
              <w:tc>
                <w:tcPr>
                  <w:tcW w:w="441" w:type="dxa"/>
                  <w:vAlign w:val="center"/>
                  <w:hideMark/>
                </w:tcPr>
                <w:p w14:paraId="49F81E6A"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b/>
                      <w:bCs/>
                      <w:color w:val="auto"/>
                      <w:szCs w:val="22"/>
                      <w:lang w:eastAsia="en-GB"/>
                    </w:rPr>
                    <w:t>IV</w:t>
                  </w:r>
                </w:p>
              </w:tc>
              <w:tc>
                <w:tcPr>
                  <w:tcW w:w="1284" w:type="dxa"/>
                  <w:shd w:val="clear" w:color="auto" w:fill="DAEEF3"/>
                  <w:vAlign w:val="center"/>
                  <w:hideMark/>
                </w:tcPr>
                <w:p w14:paraId="4EB3B1B5"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1298" w:type="dxa"/>
                  <w:shd w:val="clear" w:color="auto" w:fill="DAEEF3"/>
                  <w:vAlign w:val="center"/>
                  <w:hideMark/>
                </w:tcPr>
                <w:p w14:paraId="5EB5477E"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1</w:t>
                  </w:r>
                  <w:r w:rsidRPr="0059651F">
                    <w:rPr>
                      <w:rFonts w:asciiTheme="minorHAnsi" w:hAnsiTheme="minorHAnsi" w:cstheme="minorHAnsi"/>
                      <w:color w:val="auto"/>
                      <w:szCs w:val="22"/>
                      <w:lang w:eastAsia="en-GB"/>
                    </w:rPr>
                    <w:t xml:space="preserve">  </w:t>
                  </w:r>
                </w:p>
              </w:tc>
              <w:tc>
                <w:tcPr>
                  <w:tcW w:w="2160" w:type="dxa"/>
                  <w:shd w:val="clear" w:color="auto" w:fill="DAEEF3"/>
                  <w:vAlign w:val="center"/>
                  <w:hideMark/>
                </w:tcPr>
                <w:p w14:paraId="6B848556"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p>
              </w:tc>
              <w:tc>
                <w:tcPr>
                  <w:tcW w:w="1997" w:type="dxa"/>
                  <w:vAlign w:val="center"/>
                  <w:hideMark/>
                </w:tcPr>
                <w:p w14:paraId="55FC28E8" w14:textId="77777777" w:rsidR="0059651F" w:rsidRPr="0059651F" w:rsidRDefault="0059651F" w:rsidP="0059651F">
                  <w:pPr>
                    <w:tabs>
                      <w:tab w:val="clear" w:pos="567"/>
                    </w:tabs>
                    <w:spacing w:before="100" w:beforeAutospacing="1" w:after="100" w:afterAutospacing="1"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p>
              </w:tc>
              <w:tc>
                <w:tcPr>
                  <w:tcW w:w="671" w:type="dxa"/>
                  <w:shd w:val="clear" w:color="auto" w:fill="DAEEF3"/>
                  <w:vAlign w:val="center"/>
                  <w:hideMark/>
                </w:tcPr>
                <w:p w14:paraId="45BA1F14"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p>
              </w:tc>
            </w:tr>
            <w:tr w:rsidR="0059651F" w:rsidRPr="0059651F" w14:paraId="37854533" w14:textId="77777777" w:rsidTr="0059651F">
              <w:trPr>
                <w:tblCellSpacing w:w="7" w:type="dxa"/>
              </w:trPr>
              <w:tc>
                <w:tcPr>
                  <w:tcW w:w="1063" w:type="dxa"/>
                  <w:vMerge/>
                  <w:vAlign w:val="center"/>
                  <w:hideMark/>
                </w:tcPr>
                <w:p w14:paraId="11677C7F" w14:textId="77777777" w:rsidR="0059651F" w:rsidRPr="0059651F" w:rsidRDefault="0059651F" w:rsidP="0059651F">
                  <w:pPr>
                    <w:tabs>
                      <w:tab w:val="clear" w:pos="567"/>
                    </w:tabs>
                    <w:spacing w:after="0" w:line="240" w:lineRule="auto"/>
                    <w:jc w:val="left"/>
                    <w:rPr>
                      <w:rFonts w:asciiTheme="minorHAnsi" w:hAnsiTheme="minorHAnsi" w:cstheme="minorHAnsi"/>
                      <w:b/>
                      <w:bCs/>
                      <w:color w:val="auto"/>
                      <w:szCs w:val="22"/>
                      <w:lang w:eastAsia="en-GB"/>
                    </w:rPr>
                  </w:pPr>
                </w:p>
              </w:tc>
              <w:tc>
                <w:tcPr>
                  <w:tcW w:w="441" w:type="dxa"/>
                  <w:vAlign w:val="center"/>
                  <w:hideMark/>
                </w:tcPr>
                <w:p w14:paraId="4A1FBF25"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b/>
                      <w:bCs/>
                      <w:color w:val="auto"/>
                      <w:szCs w:val="22"/>
                      <w:lang w:eastAsia="en-GB"/>
                    </w:rPr>
                    <w:t>V</w:t>
                  </w:r>
                </w:p>
              </w:tc>
              <w:tc>
                <w:tcPr>
                  <w:tcW w:w="1284" w:type="dxa"/>
                  <w:shd w:val="clear" w:color="auto" w:fill="FF0000"/>
                  <w:vAlign w:val="center"/>
                  <w:hideMark/>
                </w:tcPr>
                <w:p w14:paraId="3EF4D252"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1298" w:type="dxa"/>
                  <w:shd w:val="clear" w:color="auto" w:fill="00FF00"/>
                  <w:vAlign w:val="center"/>
                  <w:hideMark/>
                </w:tcPr>
                <w:p w14:paraId="5135727F"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1</w:t>
                  </w:r>
                </w:p>
              </w:tc>
              <w:tc>
                <w:tcPr>
                  <w:tcW w:w="2160" w:type="dxa"/>
                  <w:shd w:val="clear" w:color="auto" w:fill="DAEEF3"/>
                  <w:vAlign w:val="center"/>
                  <w:hideMark/>
                </w:tcPr>
                <w:p w14:paraId="0A7662C2"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p>
              </w:tc>
              <w:tc>
                <w:tcPr>
                  <w:tcW w:w="1997" w:type="dxa"/>
                  <w:vAlign w:val="center"/>
                  <w:hideMark/>
                </w:tcPr>
                <w:p w14:paraId="7AB7602D" w14:textId="77777777" w:rsidR="0059651F" w:rsidRPr="0059651F" w:rsidRDefault="0059651F" w:rsidP="0059651F">
                  <w:pPr>
                    <w:tabs>
                      <w:tab w:val="clear" w:pos="567"/>
                    </w:tabs>
                    <w:spacing w:before="100" w:beforeAutospacing="1" w:after="100" w:afterAutospacing="1"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 ●</w:t>
                  </w:r>
                </w:p>
              </w:tc>
              <w:tc>
                <w:tcPr>
                  <w:tcW w:w="671" w:type="dxa"/>
                  <w:shd w:val="clear" w:color="auto" w:fill="DAEEF3"/>
                  <w:vAlign w:val="center"/>
                  <w:hideMark/>
                </w:tcPr>
                <w:p w14:paraId="67F184EC"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p>
              </w:tc>
            </w:tr>
          </w:tbl>
          <w:p w14:paraId="307BE126" w14:textId="77777777" w:rsidR="001D5ED9" w:rsidRPr="0059651F" w:rsidRDefault="001D5ED9">
            <w:pPr>
              <w:tabs>
                <w:tab w:val="clear" w:pos="567"/>
              </w:tabs>
              <w:spacing w:after="0" w:line="240" w:lineRule="auto"/>
              <w:rPr>
                <w:rFonts w:cs="Calibri"/>
                <w:color w:val="auto"/>
                <w:sz w:val="18"/>
                <w:szCs w:val="18"/>
                <w:lang w:val="en-GB"/>
              </w:rPr>
            </w:pPr>
          </w:p>
          <w:p w14:paraId="1B794EDE" w14:textId="77777777" w:rsidR="001D5ED9" w:rsidRPr="005F054B" w:rsidRDefault="001D5ED9">
            <w:pPr>
              <w:tabs>
                <w:tab w:val="clear" w:pos="567"/>
                <w:tab w:val="left" w:pos="2580"/>
              </w:tabs>
              <w:spacing w:after="0" w:line="240" w:lineRule="auto"/>
              <w:rPr>
                <w:rFonts w:cs="Calibri"/>
                <w:color w:val="auto"/>
                <w:sz w:val="18"/>
                <w:szCs w:val="18"/>
              </w:rPr>
            </w:pPr>
            <w:r w:rsidRPr="005F054B">
              <w:rPr>
                <w:rFonts w:cs="Calibri"/>
                <w:color w:val="auto"/>
                <w:sz w:val="18"/>
                <w:szCs w:val="18"/>
              </w:rPr>
              <w:t xml:space="preserve">Explanation to table: </w:t>
            </w:r>
          </w:p>
          <w:p w14:paraId="17D348E2" w14:textId="77777777" w:rsidR="001D5ED9" w:rsidRPr="005F054B" w:rsidRDefault="001D5ED9">
            <w:pPr>
              <w:widowControl w:val="0"/>
              <w:tabs>
                <w:tab w:val="clear" w:pos="567"/>
              </w:tabs>
              <w:autoSpaceDE w:val="0"/>
              <w:autoSpaceDN w:val="0"/>
              <w:spacing w:after="0" w:line="338" w:lineRule="auto"/>
              <w:ind w:right="211"/>
              <w:jc w:val="left"/>
              <w:rPr>
                <w:rFonts w:eastAsia="Calibri" w:cs="Calibri"/>
                <w:b/>
                <w:color w:val="auto"/>
                <w:sz w:val="18"/>
                <w:szCs w:val="18"/>
                <w:u w:val="single"/>
              </w:rPr>
            </w:pPr>
            <w:r w:rsidRPr="005F054B">
              <w:rPr>
                <w:rFonts w:eastAsia="Calibri" w:cs="Calibri"/>
                <w:b/>
                <w:color w:val="auto"/>
                <w:sz w:val="18"/>
                <w:szCs w:val="18"/>
                <w:u w:val="single"/>
              </w:rPr>
              <w:t>Distribution, Population size, Condition</w:t>
            </w:r>
          </w:p>
          <w:p w14:paraId="1F9FBC5A" w14:textId="77777777" w:rsidR="001D5ED9" w:rsidRPr="005F054B" w:rsidRDefault="001D5ED9">
            <w:pPr>
              <w:tabs>
                <w:tab w:val="clear" w:pos="567"/>
              </w:tabs>
              <w:spacing w:after="0" w:line="240" w:lineRule="auto"/>
              <w:rPr>
                <w:rFonts w:cs="Calibri"/>
                <w:color w:val="auto"/>
                <w:sz w:val="18"/>
                <w:szCs w:val="18"/>
              </w:rPr>
            </w:pPr>
            <w:r w:rsidRPr="005F054B">
              <w:rPr>
                <w:rFonts w:cs="Calibri"/>
                <w:b/>
                <w:color w:val="auto"/>
                <w:sz w:val="18"/>
                <w:szCs w:val="18"/>
              </w:rPr>
              <w:t>Trends</w:t>
            </w:r>
            <w:r w:rsidRPr="005F054B">
              <w:rPr>
                <w:rFonts w:cs="Calibri"/>
                <w:color w:val="auto"/>
                <w:sz w:val="18"/>
                <w:szCs w:val="18"/>
              </w:rPr>
              <w:t xml:space="preserve"> in status (since the assessment in the background document)</w:t>
            </w:r>
          </w:p>
          <w:p w14:paraId="4E098FA7" w14:textId="77777777" w:rsidR="001D5ED9" w:rsidRPr="005F054B" w:rsidRDefault="001D5ED9">
            <w:pPr>
              <w:tabs>
                <w:tab w:val="clear" w:pos="567"/>
              </w:tabs>
              <w:spacing w:after="0" w:line="240" w:lineRule="auto"/>
              <w:rPr>
                <w:rFonts w:cs="Calibri"/>
                <w:color w:val="auto"/>
                <w:sz w:val="18"/>
                <w:szCs w:val="18"/>
              </w:rPr>
            </w:pPr>
            <w:r w:rsidRPr="005F054B">
              <w:rPr>
                <w:rFonts w:cs="Calibri"/>
                <w:b/>
                <w:bCs/>
                <w:color w:val="auto"/>
                <w:sz w:val="18"/>
                <w:szCs w:val="18"/>
              </w:rPr>
              <w:t xml:space="preserve">↓ </w:t>
            </w:r>
            <w:r w:rsidRPr="005F054B">
              <w:rPr>
                <w:rFonts w:cs="Calibri"/>
                <w:b/>
                <w:bCs/>
                <w:color w:val="auto"/>
                <w:sz w:val="18"/>
                <w:szCs w:val="18"/>
              </w:rPr>
              <w:tab/>
            </w:r>
            <w:r w:rsidRPr="005F054B">
              <w:rPr>
                <w:rFonts w:cs="Calibri"/>
                <w:color w:val="auto"/>
                <w:sz w:val="18"/>
                <w:szCs w:val="18"/>
              </w:rPr>
              <w:t xml:space="preserve">decreasing trend or deterioration of the criterion assessed </w:t>
            </w:r>
          </w:p>
          <w:p w14:paraId="5FD8D408" w14:textId="77777777" w:rsidR="001D5ED9" w:rsidRPr="005F054B" w:rsidRDefault="001D5ED9">
            <w:pPr>
              <w:tabs>
                <w:tab w:val="clear" w:pos="567"/>
              </w:tabs>
              <w:spacing w:after="0" w:line="240" w:lineRule="auto"/>
              <w:rPr>
                <w:rFonts w:cs="Calibri"/>
                <w:b/>
                <w:bCs/>
                <w:color w:val="auto"/>
                <w:sz w:val="18"/>
                <w:szCs w:val="18"/>
              </w:rPr>
            </w:pPr>
            <w:proofErr w:type="gramStart"/>
            <w:r w:rsidRPr="005F054B">
              <w:rPr>
                <w:rFonts w:cs="Calibri"/>
                <w:b/>
                <w:bCs/>
                <w:color w:val="auto"/>
                <w:sz w:val="18"/>
                <w:szCs w:val="18"/>
              </w:rPr>
              <w:t>↑</w:t>
            </w:r>
            <w:r w:rsidRPr="005F054B">
              <w:rPr>
                <w:rFonts w:cs="Calibri"/>
                <w:color w:val="auto"/>
                <w:sz w:val="18"/>
                <w:szCs w:val="18"/>
              </w:rPr>
              <w:t xml:space="preserve"> </w:t>
            </w:r>
            <w:r w:rsidRPr="005F054B">
              <w:rPr>
                <w:rFonts w:cs="Calibri"/>
                <w:b/>
                <w:bCs/>
                <w:color w:val="auto"/>
                <w:sz w:val="18"/>
                <w:szCs w:val="18"/>
              </w:rPr>
              <w:tab/>
            </w:r>
            <w:r w:rsidRPr="005F054B">
              <w:rPr>
                <w:rFonts w:cs="Calibri"/>
                <w:color w:val="auto"/>
                <w:sz w:val="18"/>
                <w:szCs w:val="18"/>
              </w:rPr>
              <w:t>increasing trend</w:t>
            </w:r>
            <w:proofErr w:type="gramEnd"/>
            <w:r w:rsidRPr="005F054B">
              <w:rPr>
                <w:rFonts w:cs="Calibri"/>
                <w:color w:val="auto"/>
                <w:sz w:val="18"/>
                <w:szCs w:val="18"/>
              </w:rPr>
              <w:t xml:space="preserve"> or improvement in the criterion assessed</w:t>
            </w:r>
          </w:p>
          <w:p w14:paraId="1C4B12FF" w14:textId="77777777" w:rsidR="001D5ED9" w:rsidRPr="005F054B" w:rsidRDefault="001D5ED9">
            <w:pPr>
              <w:tabs>
                <w:tab w:val="clear" w:pos="567"/>
              </w:tabs>
              <w:spacing w:after="0" w:line="240" w:lineRule="auto"/>
              <w:rPr>
                <w:rFonts w:cs="Calibri"/>
                <w:color w:val="auto"/>
                <w:sz w:val="18"/>
                <w:szCs w:val="18"/>
              </w:rPr>
            </w:pPr>
            <w:r w:rsidRPr="005F054B">
              <w:rPr>
                <w:rFonts w:cs="Calibri"/>
                <w:b/>
                <w:bCs/>
                <w:color w:val="auto"/>
                <w:sz w:val="18"/>
                <w:szCs w:val="18"/>
              </w:rPr>
              <w:t xml:space="preserve">←→ </w:t>
            </w:r>
            <w:r w:rsidRPr="005F054B">
              <w:rPr>
                <w:rFonts w:cs="Calibri"/>
                <w:b/>
                <w:bCs/>
                <w:color w:val="auto"/>
                <w:sz w:val="18"/>
                <w:szCs w:val="18"/>
              </w:rPr>
              <w:tab/>
            </w:r>
            <w:r w:rsidRPr="005F054B">
              <w:rPr>
                <w:rFonts w:cs="Calibri"/>
                <w:color w:val="auto"/>
                <w:sz w:val="18"/>
                <w:szCs w:val="18"/>
              </w:rPr>
              <w:t xml:space="preserve">no change observed in the criterion assessed </w:t>
            </w:r>
          </w:p>
          <w:p w14:paraId="07247D2F" w14:textId="77777777" w:rsidR="001D5ED9" w:rsidRPr="005F054B" w:rsidRDefault="001D5ED9">
            <w:pPr>
              <w:tabs>
                <w:tab w:val="clear" w:pos="567"/>
              </w:tabs>
              <w:spacing w:after="0" w:line="240" w:lineRule="auto"/>
              <w:rPr>
                <w:rFonts w:cs="Calibri"/>
                <w:color w:val="auto"/>
                <w:sz w:val="18"/>
                <w:szCs w:val="18"/>
              </w:rPr>
            </w:pPr>
            <w:r w:rsidRPr="005F054B">
              <w:rPr>
                <w:rFonts w:cs="Calibri"/>
                <w:b/>
                <w:color w:val="auto"/>
                <w:sz w:val="18"/>
                <w:szCs w:val="18"/>
              </w:rPr>
              <w:t>?</w:t>
            </w:r>
            <w:r w:rsidRPr="005F054B">
              <w:rPr>
                <w:rFonts w:cs="Calibri"/>
                <w:i/>
                <w:color w:val="auto"/>
                <w:sz w:val="18"/>
                <w:szCs w:val="18"/>
              </w:rPr>
              <w:t xml:space="preserve">  trend unknown in the criterion assessed</w:t>
            </w:r>
          </w:p>
          <w:p w14:paraId="1DE31E90" w14:textId="77777777" w:rsidR="001D5ED9" w:rsidRPr="005F054B" w:rsidRDefault="001D5ED9">
            <w:pPr>
              <w:tabs>
                <w:tab w:val="clear" w:pos="567"/>
              </w:tabs>
              <w:spacing w:after="0" w:line="240" w:lineRule="auto"/>
              <w:rPr>
                <w:rFonts w:cs="Calibri"/>
                <w:b/>
                <w:color w:val="auto"/>
                <w:sz w:val="18"/>
                <w:szCs w:val="18"/>
              </w:rPr>
            </w:pPr>
            <w:r w:rsidRPr="005F054B">
              <w:rPr>
                <w:rFonts w:cs="Calibri"/>
                <w:b/>
                <w:bCs/>
                <w:color w:val="auto"/>
                <w:sz w:val="18"/>
                <w:szCs w:val="18"/>
              </w:rPr>
              <w:t>Previous</w:t>
            </w:r>
            <w:r w:rsidRPr="005F054B">
              <w:rPr>
                <w:rFonts w:cs="Calibri"/>
                <w:color w:val="auto"/>
                <w:sz w:val="18"/>
                <w:szCs w:val="18"/>
              </w:rPr>
              <w:t xml:space="preserve"> </w:t>
            </w:r>
            <w:r w:rsidRPr="005F054B">
              <w:rPr>
                <w:rFonts w:cs="Calibri"/>
                <w:b/>
                <w:color w:val="auto"/>
                <w:sz w:val="18"/>
                <w:szCs w:val="18"/>
              </w:rPr>
              <w:t xml:space="preserve">status assessment: </w:t>
            </w:r>
            <w:r w:rsidRPr="005F054B">
              <w:rPr>
                <w:rFonts w:cs="Calibri"/>
                <w:bCs/>
                <w:color w:val="auto"/>
                <w:sz w:val="18"/>
                <w:szCs w:val="18"/>
              </w:rPr>
              <w:t>if QSR 2010 then enter</w:t>
            </w:r>
            <w:r w:rsidRPr="005F054B">
              <w:rPr>
                <w:rFonts w:cs="Calibri"/>
                <w:b/>
                <w:color w:val="auto"/>
                <w:sz w:val="18"/>
                <w:szCs w:val="18"/>
              </w:rPr>
              <w:t xml:space="preserve"> </w:t>
            </w:r>
            <w:r w:rsidRPr="005F054B">
              <w:rPr>
                <w:rFonts w:cs="Calibri"/>
                <w:color w:val="auto"/>
                <w:sz w:val="18"/>
                <w:szCs w:val="18"/>
              </w:rPr>
              <w:t>Regions where species occurs (○) and has been recognised by OSPAR to be threatened and/or declining (●) based on Chapter 10 Table 10.2 and Table 10.3. If a more recent status assessment is available, then enter ‘poor</w:t>
            </w:r>
            <w:proofErr w:type="gramStart"/>
            <w:r w:rsidRPr="005F054B">
              <w:rPr>
                <w:rFonts w:cs="Calibri"/>
                <w:color w:val="auto"/>
                <w:sz w:val="18"/>
                <w:szCs w:val="18"/>
              </w:rPr>
              <w:t>’/’</w:t>
            </w:r>
            <w:proofErr w:type="gramEnd"/>
            <w:r w:rsidRPr="005F054B">
              <w:rPr>
                <w:rFonts w:cs="Calibri"/>
                <w:color w:val="auto"/>
                <w:sz w:val="18"/>
                <w:szCs w:val="18"/>
              </w:rPr>
              <w:t>good’</w:t>
            </w:r>
          </w:p>
          <w:p w14:paraId="2D182D6A" w14:textId="77777777" w:rsidR="001D5ED9" w:rsidRPr="005F054B" w:rsidRDefault="001D5ED9">
            <w:pPr>
              <w:tabs>
                <w:tab w:val="clear" w:pos="567"/>
              </w:tabs>
              <w:spacing w:after="0" w:line="240" w:lineRule="auto"/>
              <w:rPr>
                <w:rFonts w:cs="Calibri"/>
                <w:b/>
                <w:color w:val="auto"/>
                <w:sz w:val="18"/>
                <w:szCs w:val="18"/>
                <w:u w:val="single"/>
              </w:rPr>
            </w:pPr>
            <w:r w:rsidRPr="005F054B">
              <w:rPr>
                <w:rFonts w:cs="Calibri"/>
                <w:b/>
                <w:color w:val="auto"/>
                <w:sz w:val="18"/>
                <w:szCs w:val="18"/>
                <w:u w:val="single"/>
              </w:rPr>
              <w:t>Status *</w:t>
            </w:r>
            <w:r w:rsidRPr="005F054B">
              <w:rPr>
                <w:rFonts w:cs="Calibri"/>
                <w:color w:val="auto"/>
                <w:sz w:val="18"/>
                <w:szCs w:val="18"/>
              </w:rPr>
              <w:t>(criterion and/or overall assessment)</w:t>
            </w:r>
          </w:p>
          <w:p w14:paraId="139310B4" w14:textId="77777777" w:rsidR="001D5ED9" w:rsidRPr="005F054B" w:rsidRDefault="001D5ED9">
            <w:pPr>
              <w:tabs>
                <w:tab w:val="clear" w:pos="567"/>
              </w:tabs>
              <w:spacing w:after="0" w:line="240" w:lineRule="auto"/>
              <w:rPr>
                <w:rFonts w:cs="Calibri"/>
                <w:color w:val="auto"/>
                <w:sz w:val="18"/>
                <w:szCs w:val="18"/>
              </w:rPr>
            </w:pPr>
            <w:r w:rsidRPr="005F054B">
              <w:rPr>
                <w:rFonts w:cs="Calibri"/>
                <w:color w:val="auto"/>
                <w:sz w:val="18"/>
                <w:szCs w:val="18"/>
                <w:highlight w:val="red"/>
              </w:rPr>
              <w:t>red</w:t>
            </w:r>
            <w:r w:rsidRPr="005F054B">
              <w:rPr>
                <w:rFonts w:cs="Calibri"/>
                <w:color w:val="auto"/>
                <w:sz w:val="18"/>
                <w:szCs w:val="18"/>
              </w:rPr>
              <w:t xml:space="preserve"> – poor </w:t>
            </w:r>
          </w:p>
          <w:p w14:paraId="0BF49107" w14:textId="77777777" w:rsidR="001D5ED9" w:rsidRPr="005F054B" w:rsidRDefault="001D5ED9">
            <w:pPr>
              <w:tabs>
                <w:tab w:val="clear" w:pos="567"/>
              </w:tabs>
              <w:spacing w:after="0" w:line="240" w:lineRule="auto"/>
              <w:rPr>
                <w:rFonts w:cs="Calibri"/>
                <w:color w:val="auto"/>
                <w:sz w:val="18"/>
                <w:szCs w:val="18"/>
              </w:rPr>
            </w:pPr>
            <w:r w:rsidRPr="005F054B">
              <w:rPr>
                <w:rFonts w:cs="Calibri"/>
                <w:color w:val="auto"/>
                <w:sz w:val="18"/>
                <w:szCs w:val="18"/>
                <w:highlight w:val="green"/>
              </w:rPr>
              <w:t>green</w:t>
            </w:r>
            <w:r w:rsidRPr="005F054B">
              <w:rPr>
                <w:rFonts w:cs="Calibri"/>
                <w:color w:val="auto"/>
                <w:sz w:val="18"/>
                <w:szCs w:val="18"/>
              </w:rPr>
              <w:t xml:space="preserve"> – good</w:t>
            </w:r>
          </w:p>
          <w:p w14:paraId="406C5F88" w14:textId="77777777" w:rsidR="001D5ED9" w:rsidRPr="005F054B" w:rsidRDefault="001D5ED9">
            <w:pPr>
              <w:tabs>
                <w:tab w:val="clear" w:pos="567"/>
              </w:tabs>
              <w:spacing w:after="0" w:line="240" w:lineRule="auto"/>
              <w:rPr>
                <w:rFonts w:cs="Calibri"/>
                <w:b/>
                <w:color w:val="auto"/>
                <w:sz w:val="18"/>
                <w:szCs w:val="18"/>
                <w:u w:val="single"/>
              </w:rPr>
            </w:pPr>
            <w:r w:rsidRPr="005F054B">
              <w:rPr>
                <w:rFonts w:cs="Calibri"/>
                <w:color w:val="auto"/>
                <w:sz w:val="18"/>
                <w:szCs w:val="18"/>
                <w:shd w:val="clear" w:color="auto" w:fill="DAEEF3"/>
              </w:rPr>
              <w:t xml:space="preserve">blue cells </w:t>
            </w:r>
            <w:r w:rsidRPr="005F054B">
              <w:rPr>
                <w:rFonts w:cs="Calibri"/>
                <w:color w:val="auto"/>
                <w:sz w:val="18"/>
                <w:szCs w:val="18"/>
              </w:rPr>
              <w:t>–? status unknown, insufficient information available,</w:t>
            </w:r>
          </w:p>
          <w:p w14:paraId="1899C1C5" w14:textId="77777777" w:rsidR="001D5ED9" w:rsidRPr="005F054B" w:rsidRDefault="001D5ED9">
            <w:pPr>
              <w:tabs>
                <w:tab w:val="clear" w:pos="567"/>
              </w:tabs>
              <w:spacing w:after="0" w:line="240" w:lineRule="auto"/>
              <w:rPr>
                <w:rFonts w:cs="Calibri"/>
                <w:i/>
                <w:color w:val="auto"/>
                <w:sz w:val="18"/>
                <w:szCs w:val="18"/>
              </w:rPr>
            </w:pPr>
            <w:r w:rsidRPr="005F054B">
              <w:rPr>
                <w:rFonts w:cs="Calibri"/>
                <w:b/>
                <w:color w:val="auto"/>
                <w:sz w:val="18"/>
                <w:szCs w:val="18"/>
              </w:rPr>
              <w:t>NA</w:t>
            </w:r>
            <w:r w:rsidRPr="005F054B">
              <w:rPr>
                <w:rFonts w:cs="Calibri"/>
                <w:i/>
                <w:color w:val="auto"/>
                <w:sz w:val="18"/>
                <w:szCs w:val="18"/>
              </w:rPr>
              <w:t xml:space="preserve"> - Not Applicable </w:t>
            </w:r>
          </w:p>
          <w:p w14:paraId="5DAB627B" w14:textId="77777777" w:rsidR="001D5ED9" w:rsidRPr="005F054B" w:rsidRDefault="001D5ED9">
            <w:pPr>
              <w:tabs>
                <w:tab w:val="clear" w:pos="567"/>
              </w:tabs>
              <w:spacing w:after="0" w:line="240" w:lineRule="auto"/>
              <w:rPr>
                <w:rFonts w:cs="Calibri"/>
                <w:color w:val="auto"/>
                <w:sz w:val="18"/>
                <w:szCs w:val="18"/>
                <w:u w:val="single"/>
              </w:rPr>
            </w:pPr>
            <w:r w:rsidRPr="005F054B">
              <w:rPr>
                <w:rFonts w:cs="Calibri"/>
                <w:color w:val="auto"/>
                <w:sz w:val="18"/>
                <w:szCs w:val="18"/>
              </w:rPr>
              <w:t>*</w:t>
            </w:r>
            <w:proofErr w:type="gramStart"/>
            <w:r w:rsidRPr="005F054B">
              <w:rPr>
                <w:rFonts w:cs="Calibri"/>
                <w:color w:val="auto"/>
                <w:sz w:val="18"/>
                <w:szCs w:val="18"/>
              </w:rPr>
              <w:t>applied</w:t>
            </w:r>
            <w:proofErr w:type="gramEnd"/>
            <w:r w:rsidRPr="005F054B">
              <w:rPr>
                <w:rFonts w:cs="Calibri"/>
                <w:color w:val="auto"/>
                <w:sz w:val="18"/>
                <w:szCs w:val="18"/>
              </w:rPr>
              <w:t xml:space="preserve"> to assessments of </w:t>
            </w:r>
            <w:r w:rsidRPr="005F054B">
              <w:rPr>
                <w:rFonts w:cs="Calibri"/>
                <w:color w:val="auto"/>
                <w:sz w:val="18"/>
                <w:szCs w:val="18"/>
                <w:u w:val="single"/>
              </w:rPr>
              <w:t>status of the feature or of a criterion, as defined by the threshold values used in the QSR 2023 if available, or by expert judgment.</w:t>
            </w:r>
          </w:p>
          <w:p w14:paraId="12EDE034" w14:textId="77777777" w:rsidR="001D5ED9" w:rsidRPr="005F054B" w:rsidRDefault="001D5ED9">
            <w:pPr>
              <w:tabs>
                <w:tab w:val="clear" w:pos="567"/>
              </w:tabs>
              <w:spacing w:after="0" w:line="240" w:lineRule="auto"/>
              <w:rPr>
                <w:rFonts w:cs="Calibri"/>
                <w:b/>
                <w:color w:val="auto"/>
                <w:sz w:val="18"/>
                <w:szCs w:val="18"/>
                <w:u w:val="single"/>
              </w:rPr>
            </w:pPr>
            <w:r w:rsidRPr="005F054B">
              <w:rPr>
                <w:rFonts w:cs="Calibri"/>
                <w:b/>
                <w:color w:val="auto"/>
                <w:sz w:val="18"/>
                <w:szCs w:val="18"/>
                <w:u w:val="single"/>
              </w:rPr>
              <w:t>Types of assessment:</w:t>
            </w:r>
          </w:p>
          <w:p w14:paraId="4ABEE45C" w14:textId="77777777" w:rsidR="001D5ED9" w:rsidRPr="005F054B" w:rsidRDefault="001D5ED9">
            <w:pPr>
              <w:tabs>
                <w:tab w:val="clear" w:pos="567"/>
              </w:tabs>
              <w:spacing w:after="0" w:line="240" w:lineRule="auto"/>
              <w:rPr>
                <w:rFonts w:cs="Calibri"/>
                <w:color w:val="auto"/>
                <w:sz w:val="18"/>
                <w:szCs w:val="18"/>
              </w:rPr>
            </w:pPr>
            <w:r w:rsidRPr="005F054B">
              <w:rPr>
                <w:rFonts w:cs="Calibri"/>
                <w:color w:val="auto"/>
                <w:sz w:val="18"/>
                <w:szCs w:val="18"/>
              </w:rPr>
              <w:t xml:space="preserve">1 – direct data driven, </w:t>
            </w:r>
          </w:p>
          <w:p w14:paraId="184B837A" w14:textId="77777777" w:rsidR="001D5ED9" w:rsidRPr="005F054B" w:rsidRDefault="001D5ED9">
            <w:pPr>
              <w:tabs>
                <w:tab w:val="clear" w:pos="567"/>
              </w:tabs>
              <w:spacing w:after="0" w:line="240" w:lineRule="auto"/>
              <w:rPr>
                <w:rFonts w:cs="Calibri"/>
                <w:color w:val="auto"/>
                <w:sz w:val="18"/>
                <w:szCs w:val="18"/>
              </w:rPr>
            </w:pPr>
            <w:r w:rsidRPr="005F054B">
              <w:rPr>
                <w:rFonts w:cs="Calibri"/>
                <w:color w:val="auto"/>
                <w:sz w:val="18"/>
                <w:szCs w:val="18"/>
              </w:rPr>
              <w:lastRenderedPageBreak/>
              <w:t xml:space="preserve">2 – indirect data driven, </w:t>
            </w:r>
          </w:p>
          <w:p w14:paraId="23FFA1EF" w14:textId="77777777" w:rsidR="001D5ED9" w:rsidRPr="005F054B" w:rsidRDefault="001D5ED9">
            <w:pPr>
              <w:tabs>
                <w:tab w:val="clear" w:pos="567"/>
              </w:tabs>
              <w:spacing w:after="0" w:line="240" w:lineRule="auto"/>
              <w:rPr>
                <w:rFonts w:cs="Calibri"/>
                <w:color w:val="auto"/>
                <w:sz w:val="18"/>
                <w:szCs w:val="18"/>
              </w:rPr>
            </w:pPr>
            <w:r w:rsidRPr="005F054B">
              <w:rPr>
                <w:rFonts w:cs="Calibri"/>
                <w:color w:val="auto"/>
                <w:sz w:val="18"/>
                <w:szCs w:val="18"/>
              </w:rPr>
              <w:t xml:space="preserve">3 – third party assessment close-geographic match, </w:t>
            </w:r>
          </w:p>
          <w:p w14:paraId="20F413A9" w14:textId="77777777" w:rsidR="001D5ED9" w:rsidRPr="005F054B" w:rsidRDefault="001D5ED9">
            <w:pPr>
              <w:tabs>
                <w:tab w:val="clear" w:pos="567"/>
              </w:tabs>
              <w:spacing w:after="0" w:line="240" w:lineRule="auto"/>
              <w:rPr>
                <w:rFonts w:cs="Calibri"/>
                <w:color w:val="auto"/>
                <w:sz w:val="18"/>
                <w:szCs w:val="18"/>
              </w:rPr>
            </w:pPr>
            <w:r w:rsidRPr="005F054B">
              <w:rPr>
                <w:rFonts w:cs="Calibri"/>
                <w:color w:val="auto"/>
                <w:sz w:val="18"/>
                <w:szCs w:val="18"/>
              </w:rPr>
              <w:t xml:space="preserve">4 - third party assessment partial-geographic match  </w:t>
            </w:r>
          </w:p>
          <w:p w14:paraId="4EA2F8F6" w14:textId="77777777" w:rsidR="001D5ED9" w:rsidRPr="005F054B" w:rsidRDefault="001D5ED9">
            <w:pPr>
              <w:tabs>
                <w:tab w:val="clear" w:pos="567"/>
              </w:tabs>
              <w:spacing w:after="0" w:line="240" w:lineRule="auto"/>
              <w:rPr>
                <w:rFonts w:cs="Calibri"/>
                <w:color w:val="auto"/>
                <w:sz w:val="18"/>
                <w:szCs w:val="18"/>
              </w:rPr>
            </w:pPr>
            <w:r w:rsidRPr="005F054B">
              <w:rPr>
                <w:rFonts w:cs="Calibri"/>
                <w:color w:val="auto"/>
                <w:sz w:val="18"/>
                <w:szCs w:val="18"/>
              </w:rPr>
              <w:t xml:space="preserve">5 – expert judgement. </w:t>
            </w:r>
          </w:p>
          <w:tbl>
            <w:tblPr>
              <w:tblpPr w:leftFromText="180" w:rightFromText="180" w:vertAnchor="text" w:horzAnchor="margin" w:tblpY="376"/>
              <w:tblOverlap w:val="never"/>
              <w:tblW w:w="0" w:type="auto"/>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78"/>
              <w:gridCol w:w="370"/>
              <w:gridCol w:w="1058"/>
              <w:gridCol w:w="929"/>
              <w:gridCol w:w="1350"/>
              <w:gridCol w:w="1350"/>
              <w:gridCol w:w="1080"/>
              <w:gridCol w:w="1620"/>
              <w:gridCol w:w="1620"/>
            </w:tblGrid>
            <w:tr w:rsidR="0059651F" w:rsidRPr="0059651F" w14:paraId="26E6FE19" w14:textId="77777777" w:rsidTr="0059651F">
              <w:trPr>
                <w:tblHeader/>
                <w:tblCellSpacing w:w="7" w:type="dxa"/>
              </w:trPr>
              <w:tc>
                <w:tcPr>
                  <w:tcW w:w="1227" w:type="dxa"/>
                  <w:gridSpan w:val="2"/>
                  <w:vAlign w:val="center"/>
                  <w:hideMark/>
                </w:tcPr>
                <w:p w14:paraId="7550E7E7" w14:textId="77777777" w:rsidR="0059651F" w:rsidRPr="0059651F" w:rsidRDefault="0059651F" w:rsidP="0059651F">
                  <w:pPr>
                    <w:tabs>
                      <w:tab w:val="clear" w:pos="567"/>
                    </w:tabs>
                    <w:spacing w:after="0" w:line="240" w:lineRule="auto"/>
                    <w:jc w:val="center"/>
                    <w:rPr>
                      <w:rFonts w:asciiTheme="minorHAnsi" w:hAnsiTheme="minorHAnsi" w:cstheme="minorHAnsi"/>
                      <w:b/>
                      <w:bCs/>
                      <w:color w:val="auto"/>
                      <w:szCs w:val="22"/>
                      <w:lang w:eastAsia="en-GB"/>
                    </w:rPr>
                  </w:pPr>
                  <w:r w:rsidRPr="0059651F">
                    <w:rPr>
                      <w:rFonts w:asciiTheme="minorHAnsi" w:hAnsiTheme="minorHAnsi" w:cstheme="minorHAnsi"/>
                      <w:b/>
                      <w:bCs/>
                      <w:color w:val="auto"/>
                      <w:szCs w:val="22"/>
                      <w:lang w:eastAsia="en-GB"/>
                    </w:rPr>
                    <w:t>Assessment of key pressures</w:t>
                  </w:r>
                </w:p>
              </w:tc>
              <w:tc>
                <w:tcPr>
                  <w:tcW w:w="1044" w:type="dxa"/>
                  <w:vAlign w:val="center"/>
                  <w:hideMark/>
                </w:tcPr>
                <w:p w14:paraId="3BDD71BE" w14:textId="77777777" w:rsidR="0059651F" w:rsidRPr="0059651F" w:rsidRDefault="0059651F" w:rsidP="0059651F">
                  <w:pPr>
                    <w:tabs>
                      <w:tab w:val="clear" w:pos="567"/>
                    </w:tabs>
                    <w:spacing w:after="0" w:line="240" w:lineRule="auto"/>
                    <w:jc w:val="center"/>
                    <w:rPr>
                      <w:rFonts w:asciiTheme="minorHAnsi" w:hAnsiTheme="minorHAnsi" w:cstheme="minorHAnsi"/>
                      <w:b/>
                      <w:bCs/>
                      <w:color w:val="auto"/>
                      <w:szCs w:val="22"/>
                      <w:lang w:eastAsia="en-GB"/>
                    </w:rPr>
                  </w:pPr>
                  <w:r w:rsidRPr="0059651F">
                    <w:rPr>
                      <w:rFonts w:asciiTheme="minorHAnsi" w:hAnsiTheme="minorHAnsi" w:cstheme="minorHAnsi"/>
                      <w:b/>
                      <w:bCs/>
                      <w:color w:val="auto"/>
                      <w:szCs w:val="22"/>
                      <w:lang w:eastAsia="en-GB"/>
                    </w:rPr>
                    <w:t>Predation</w:t>
                  </w:r>
                </w:p>
              </w:tc>
              <w:tc>
                <w:tcPr>
                  <w:tcW w:w="915" w:type="dxa"/>
                  <w:vAlign w:val="center"/>
                  <w:hideMark/>
                </w:tcPr>
                <w:p w14:paraId="3961645C" w14:textId="77777777" w:rsidR="0059651F" w:rsidRPr="0059651F" w:rsidRDefault="0059651F" w:rsidP="0059651F">
                  <w:pPr>
                    <w:tabs>
                      <w:tab w:val="clear" w:pos="567"/>
                    </w:tabs>
                    <w:spacing w:after="0" w:line="240" w:lineRule="auto"/>
                    <w:jc w:val="center"/>
                    <w:rPr>
                      <w:rFonts w:asciiTheme="minorHAnsi" w:hAnsiTheme="minorHAnsi" w:cstheme="minorHAnsi"/>
                      <w:b/>
                      <w:bCs/>
                      <w:color w:val="auto"/>
                      <w:szCs w:val="22"/>
                      <w:lang w:eastAsia="en-GB"/>
                    </w:rPr>
                  </w:pPr>
                  <w:r w:rsidRPr="0059651F">
                    <w:rPr>
                      <w:rFonts w:asciiTheme="minorHAnsi" w:hAnsiTheme="minorHAnsi" w:cstheme="minorHAnsi"/>
                      <w:b/>
                      <w:bCs/>
                      <w:color w:val="auto"/>
                      <w:szCs w:val="22"/>
                      <w:lang w:eastAsia="en-GB"/>
                    </w:rPr>
                    <w:t>Habitat loss</w:t>
                  </w:r>
                </w:p>
              </w:tc>
              <w:tc>
                <w:tcPr>
                  <w:tcW w:w="1336" w:type="dxa"/>
                  <w:vAlign w:val="center"/>
                  <w:hideMark/>
                </w:tcPr>
                <w:p w14:paraId="6853EB32" w14:textId="77777777" w:rsidR="0059651F" w:rsidRPr="0059651F" w:rsidRDefault="0059651F" w:rsidP="0059651F">
                  <w:pPr>
                    <w:tabs>
                      <w:tab w:val="clear" w:pos="567"/>
                    </w:tabs>
                    <w:spacing w:after="0" w:line="240" w:lineRule="auto"/>
                    <w:jc w:val="center"/>
                    <w:rPr>
                      <w:rFonts w:asciiTheme="minorHAnsi" w:hAnsiTheme="minorHAnsi" w:cstheme="minorHAnsi"/>
                      <w:b/>
                      <w:bCs/>
                      <w:color w:val="auto"/>
                      <w:szCs w:val="22"/>
                      <w:lang w:eastAsia="en-GB"/>
                    </w:rPr>
                  </w:pPr>
                  <w:r w:rsidRPr="0059651F">
                    <w:rPr>
                      <w:rFonts w:asciiTheme="minorHAnsi" w:hAnsiTheme="minorHAnsi" w:cstheme="minorHAnsi"/>
                      <w:b/>
                      <w:bCs/>
                      <w:color w:val="auto"/>
                      <w:szCs w:val="22"/>
                      <w:lang w:eastAsia="en-GB"/>
                    </w:rPr>
                    <w:t>Threats outside the OSPAR area</w:t>
                  </w:r>
                </w:p>
              </w:tc>
              <w:tc>
                <w:tcPr>
                  <w:tcW w:w="1336" w:type="dxa"/>
                  <w:vAlign w:val="center"/>
                  <w:hideMark/>
                </w:tcPr>
                <w:p w14:paraId="7672CBD5" w14:textId="77777777" w:rsidR="0059651F" w:rsidRPr="0059651F" w:rsidRDefault="0059651F" w:rsidP="0059651F">
                  <w:pPr>
                    <w:tabs>
                      <w:tab w:val="clear" w:pos="567"/>
                    </w:tabs>
                    <w:spacing w:after="0" w:line="240" w:lineRule="auto"/>
                    <w:jc w:val="center"/>
                    <w:rPr>
                      <w:rFonts w:asciiTheme="minorHAnsi" w:hAnsiTheme="minorHAnsi" w:cstheme="minorHAnsi"/>
                      <w:b/>
                      <w:bCs/>
                      <w:color w:val="auto"/>
                      <w:szCs w:val="22"/>
                      <w:lang w:eastAsia="en-GB"/>
                    </w:rPr>
                  </w:pPr>
                  <w:r w:rsidRPr="0059651F">
                    <w:rPr>
                      <w:rFonts w:asciiTheme="minorHAnsi" w:hAnsiTheme="minorHAnsi" w:cstheme="minorHAnsi"/>
                      <w:b/>
                      <w:bCs/>
                      <w:color w:val="auto"/>
                      <w:szCs w:val="22"/>
                      <w:lang w:eastAsia="en-GB"/>
                    </w:rPr>
                    <w:t>Introduction of non-indigenous species and translocations</w:t>
                  </w:r>
                </w:p>
              </w:tc>
              <w:tc>
                <w:tcPr>
                  <w:tcW w:w="1066" w:type="dxa"/>
                  <w:vAlign w:val="center"/>
                  <w:hideMark/>
                </w:tcPr>
                <w:p w14:paraId="2D028F16" w14:textId="77777777" w:rsidR="0059651F" w:rsidRPr="0059651F" w:rsidRDefault="0059651F" w:rsidP="0059651F">
                  <w:pPr>
                    <w:tabs>
                      <w:tab w:val="clear" w:pos="567"/>
                    </w:tabs>
                    <w:spacing w:after="0" w:line="240" w:lineRule="auto"/>
                    <w:jc w:val="center"/>
                    <w:rPr>
                      <w:rFonts w:asciiTheme="minorHAnsi" w:hAnsiTheme="minorHAnsi" w:cstheme="minorHAnsi"/>
                      <w:b/>
                      <w:bCs/>
                      <w:color w:val="auto"/>
                      <w:szCs w:val="22"/>
                      <w:lang w:eastAsia="en-GB"/>
                    </w:rPr>
                  </w:pPr>
                  <w:r w:rsidRPr="0059651F">
                    <w:rPr>
                      <w:rFonts w:asciiTheme="minorHAnsi" w:hAnsiTheme="minorHAnsi" w:cstheme="minorHAnsi"/>
                      <w:b/>
                      <w:bCs/>
                      <w:color w:val="auto"/>
                      <w:szCs w:val="22"/>
                      <w:lang w:eastAsia="en-GB"/>
                    </w:rPr>
                    <w:t>Loss of prey species</w:t>
                  </w:r>
                </w:p>
              </w:tc>
              <w:tc>
                <w:tcPr>
                  <w:tcW w:w="1606" w:type="dxa"/>
                  <w:vAlign w:val="center"/>
                  <w:hideMark/>
                </w:tcPr>
                <w:p w14:paraId="5637F743" w14:textId="77777777" w:rsidR="0059651F" w:rsidRPr="0059651F" w:rsidRDefault="0059651F" w:rsidP="0059651F">
                  <w:pPr>
                    <w:tabs>
                      <w:tab w:val="clear" w:pos="567"/>
                    </w:tabs>
                    <w:spacing w:after="0" w:line="240" w:lineRule="auto"/>
                    <w:jc w:val="center"/>
                    <w:rPr>
                      <w:rFonts w:asciiTheme="minorHAnsi" w:hAnsiTheme="minorHAnsi" w:cstheme="minorHAnsi"/>
                      <w:b/>
                      <w:bCs/>
                      <w:color w:val="auto"/>
                      <w:szCs w:val="22"/>
                      <w:lang w:eastAsia="en-GB"/>
                    </w:rPr>
                  </w:pPr>
                  <w:r w:rsidRPr="0059651F">
                    <w:rPr>
                      <w:rFonts w:asciiTheme="minorHAnsi" w:hAnsiTheme="minorHAnsi" w:cstheme="minorHAnsi"/>
                      <w:b/>
                      <w:bCs/>
                      <w:color w:val="auto"/>
                      <w:szCs w:val="22"/>
                      <w:lang w:eastAsia="en-GB"/>
                    </w:rPr>
                    <w:t>Habitat damage (disturbance at the breeding colonies)</w:t>
                  </w:r>
                </w:p>
              </w:tc>
              <w:tc>
                <w:tcPr>
                  <w:tcW w:w="1599" w:type="dxa"/>
                  <w:vAlign w:val="center"/>
                  <w:hideMark/>
                </w:tcPr>
                <w:p w14:paraId="3C15AEFD" w14:textId="77777777" w:rsidR="0059651F" w:rsidRPr="0059651F" w:rsidRDefault="0059651F" w:rsidP="0059651F">
                  <w:pPr>
                    <w:tabs>
                      <w:tab w:val="clear" w:pos="567"/>
                    </w:tabs>
                    <w:spacing w:after="0" w:line="240" w:lineRule="auto"/>
                    <w:jc w:val="center"/>
                    <w:rPr>
                      <w:rFonts w:asciiTheme="minorHAnsi" w:hAnsiTheme="minorHAnsi" w:cstheme="minorHAnsi"/>
                      <w:b/>
                      <w:bCs/>
                      <w:color w:val="auto"/>
                      <w:szCs w:val="22"/>
                      <w:lang w:eastAsia="en-GB"/>
                    </w:rPr>
                  </w:pPr>
                  <w:r w:rsidRPr="0059651F">
                    <w:rPr>
                      <w:rFonts w:asciiTheme="minorHAnsi" w:hAnsiTheme="minorHAnsi" w:cstheme="minorHAnsi"/>
                      <w:b/>
                      <w:bCs/>
                      <w:color w:val="auto"/>
                      <w:szCs w:val="22"/>
                      <w:lang w:eastAsia="en-GB"/>
                    </w:rPr>
                    <w:t>Threat or impact (overall assessment)</w:t>
                  </w:r>
                </w:p>
              </w:tc>
            </w:tr>
            <w:tr w:rsidR="0059651F" w:rsidRPr="0059651F" w14:paraId="723F8532" w14:textId="77777777" w:rsidTr="0059651F">
              <w:trPr>
                <w:tblCellSpacing w:w="7" w:type="dxa"/>
              </w:trPr>
              <w:tc>
                <w:tcPr>
                  <w:tcW w:w="857" w:type="dxa"/>
                  <w:vMerge w:val="restart"/>
                  <w:vAlign w:val="center"/>
                  <w:hideMark/>
                </w:tcPr>
                <w:p w14:paraId="06AEC4ED" w14:textId="77777777" w:rsidR="0059651F" w:rsidRPr="0059651F" w:rsidRDefault="0059651F" w:rsidP="0059651F">
                  <w:pPr>
                    <w:tabs>
                      <w:tab w:val="clear" w:pos="567"/>
                    </w:tabs>
                    <w:spacing w:after="0" w:line="240" w:lineRule="auto"/>
                    <w:jc w:val="center"/>
                    <w:rPr>
                      <w:rFonts w:asciiTheme="minorHAnsi" w:hAnsiTheme="minorHAnsi" w:cstheme="minorHAnsi"/>
                      <w:b/>
                      <w:bCs/>
                      <w:color w:val="auto"/>
                      <w:szCs w:val="22"/>
                      <w:lang w:eastAsia="en-GB"/>
                    </w:rPr>
                  </w:pPr>
                  <w:r w:rsidRPr="0059651F">
                    <w:rPr>
                      <w:rFonts w:asciiTheme="minorHAnsi" w:hAnsiTheme="minorHAnsi" w:cstheme="minorHAnsi"/>
                      <w:b/>
                      <w:bCs/>
                      <w:color w:val="auto"/>
                      <w:szCs w:val="22"/>
                      <w:lang w:eastAsia="en-GB"/>
                    </w:rPr>
                    <w:br/>
                  </w:r>
                  <w:r w:rsidRPr="0059651F">
                    <w:rPr>
                      <w:rFonts w:asciiTheme="minorHAnsi" w:hAnsiTheme="minorHAnsi" w:cstheme="minorHAnsi"/>
                      <w:b/>
                      <w:bCs/>
                      <w:color w:val="auto"/>
                      <w:szCs w:val="22"/>
                      <w:lang w:eastAsia="en-GB"/>
                    </w:rPr>
                    <w:br/>
                  </w:r>
                  <w:r w:rsidRPr="0059651F">
                    <w:rPr>
                      <w:rFonts w:asciiTheme="minorHAnsi" w:hAnsiTheme="minorHAnsi" w:cstheme="minorHAnsi"/>
                      <w:b/>
                      <w:bCs/>
                      <w:color w:val="auto"/>
                      <w:szCs w:val="22"/>
                      <w:lang w:eastAsia="en-GB"/>
                    </w:rPr>
                    <w:br/>
                    <w:t>Region</w:t>
                  </w:r>
                </w:p>
              </w:tc>
              <w:tc>
                <w:tcPr>
                  <w:tcW w:w="356" w:type="dxa"/>
                  <w:vAlign w:val="center"/>
                  <w:hideMark/>
                </w:tcPr>
                <w:p w14:paraId="79C56247"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b/>
                      <w:bCs/>
                      <w:color w:val="auto"/>
                      <w:szCs w:val="22"/>
                      <w:lang w:eastAsia="en-GB"/>
                    </w:rPr>
                    <w:t>I</w:t>
                  </w:r>
                </w:p>
              </w:tc>
              <w:tc>
                <w:tcPr>
                  <w:tcW w:w="1044" w:type="dxa"/>
                  <w:vAlign w:val="center"/>
                  <w:hideMark/>
                </w:tcPr>
                <w:p w14:paraId="2458481D"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 </w:t>
                  </w:r>
                </w:p>
              </w:tc>
              <w:tc>
                <w:tcPr>
                  <w:tcW w:w="915" w:type="dxa"/>
                  <w:vAlign w:val="center"/>
                  <w:hideMark/>
                </w:tcPr>
                <w:p w14:paraId="69D33FFF"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 </w:t>
                  </w:r>
                </w:p>
              </w:tc>
              <w:tc>
                <w:tcPr>
                  <w:tcW w:w="1336" w:type="dxa"/>
                  <w:vAlign w:val="center"/>
                  <w:hideMark/>
                </w:tcPr>
                <w:p w14:paraId="684B1411"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 </w:t>
                  </w:r>
                </w:p>
              </w:tc>
              <w:tc>
                <w:tcPr>
                  <w:tcW w:w="1336" w:type="dxa"/>
                  <w:vAlign w:val="center"/>
                  <w:hideMark/>
                </w:tcPr>
                <w:p w14:paraId="234DC8BD"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 </w:t>
                  </w:r>
                </w:p>
              </w:tc>
              <w:tc>
                <w:tcPr>
                  <w:tcW w:w="1066" w:type="dxa"/>
                  <w:vAlign w:val="center"/>
                  <w:hideMark/>
                </w:tcPr>
                <w:p w14:paraId="7A1AB819"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 </w:t>
                  </w:r>
                </w:p>
              </w:tc>
              <w:tc>
                <w:tcPr>
                  <w:tcW w:w="1606" w:type="dxa"/>
                  <w:vAlign w:val="center"/>
                  <w:hideMark/>
                </w:tcPr>
                <w:p w14:paraId="6E15952F"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 </w:t>
                  </w:r>
                </w:p>
              </w:tc>
              <w:tc>
                <w:tcPr>
                  <w:tcW w:w="1599" w:type="dxa"/>
                  <w:vAlign w:val="center"/>
                  <w:hideMark/>
                </w:tcPr>
                <w:p w14:paraId="4D0920E3"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NA</w:t>
                  </w:r>
                </w:p>
              </w:tc>
            </w:tr>
            <w:tr w:rsidR="0059651F" w:rsidRPr="0059651F" w14:paraId="76A2B09E" w14:textId="77777777" w:rsidTr="0059651F">
              <w:trPr>
                <w:tblCellSpacing w:w="7" w:type="dxa"/>
              </w:trPr>
              <w:tc>
                <w:tcPr>
                  <w:tcW w:w="857" w:type="dxa"/>
                  <w:vMerge/>
                  <w:vAlign w:val="center"/>
                  <w:hideMark/>
                </w:tcPr>
                <w:p w14:paraId="09E5BC1D" w14:textId="77777777" w:rsidR="0059651F" w:rsidRPr="0059651F" w:rsidRDefault="0059651F" w:rsidP="0059651F">
                  <w:pPr>
                    <w:tabs>
                      <w:tab w:val="clear" w:pos="567"/>
                    </w:tabs>
                    <w:spacing w:after="0" w:line="240" w:lineRule="auto"/>
                    <w:jc w:val="left"/>
                    <w:rPr>
                      <w:rFonts w:asciiTheme="minorHAnsi" w:hAnsiTheme="minorHAnsi" w:cstheme="minorHAnsi"/>
                      <w:b/>
                      <w:bCs/>
                      <w:color w:val="auto"/>
                      <w:szCs w:val="22"/>
                      <w:lang w:eastAsia="en-GB"/>
                    </w:rPr>
                  </w:pPr>
                </w:p>
              </w:tc>
              <w:tc>
                <w:tcPr>
                  <w:tcW w:w="356" w:type="dxa"/>
                  <w:vAlign w:val="center"/>
                  <w:hideMark/>
                </w:tcPr>
                <w:p w14:paraId="4D6E5C35"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b/>
                      <w:bCs/>
                      <w:color w:val="auto"/>
                      <w:szCs w:val="22"/>
                      <w:lang w:eastAsia="en-GB"/>
                    </w:rPr>
                    <w:t>II</w:t>
                  </w:r>
                </w:p>
              </w:tc>
              <w:tc>
                <w:tcPr>
                  <w:tcW w:w="1044" w:type="dxa"/>
                  <w:vAlign w:val="center"/>
                  <w:hideMark/>
                </w:tcPr>
                <w:p w14:paraId="1DD43586"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915" w:type="dxa"/>
                  <w:vAlign w:val="center"/>
                  <w:hideMark/>
                </w:tcPr>
                <w:p w14:paraId="7116081B"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1336" w:type="dxa"/>
                  <w:vAlign w:val="center"/>
                  <w:hideMark/>
                </w:tcPr>
                <w:p w14:paraId="7541D703"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1336" w:type="dxa"/>
                  <w:vAlign w:val="center"/>
                  <w:hideMark/>
                </w:tcPr>
                <w:p w14:paraId="79E27ACF"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1066" w:type="dxa"/>
                  <w:vAlign w:val="center"/>
                  <w:hideMark/>
                </w:tcPr>
                <w:p w14:paraId="008E469F"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p>
              </w:tc>
              <w:tc>
                <w:tcPr>
                  <w:tcW w:w="1606" w:type="dxa"/>
                  <w:vAlign w:val="center"/>
                  <w:hideMark/>
                </w:tcPr>
                <w:p w14:paraId="6D37F922"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1599" w:type="dxa"/>
                  <w:shd w:val="clear" w:color="auto" w:fill="00FF00"/>
                  <w:vAlign w:val="center"/>
                  <w:hideMark/>
                </w:tcPr>
                <w:p w14:paraId="175D701C"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 </w:t>
                  </w:r>
                </w:p>
              </w:tc>
            </w:tr>
            <w:tr w:rsidR="0059651F" w:rsidRPr="0059651F" w14:paraId="6D6DF6F1" w14:textId="77777777" w:rsidTr="0059651F">
              <w:trPr>
                <w:tblCellSpacing w:w="7" w:type="dxa"/>
              </w:trPr>
              <w:tc>
                <w:tcPr>
                  <w:tcW w:w="857" w:type="dxa"/>
                  <w:vMerge/>
                  <w:vAlign w:val="center"/>
                  <w:hideMark/>
                </w:tcPr>
                <w:p w14:paraId="5A5EA46B" w14:textId="77777777" w:rsidR="0059651F" w:rsidRPr="0059651F" w:rsidRDefault="0059651F" w:rsidP="0059651F">
                  <w:pPr>
                    <w:tabs>
                      <w:tab w:val="clear" w:pos="567"/>
                    </w:tabs>
                    <w:spacing w:after="0" w:line="240" w:lineRule="auto"/>
                    <w:jc w:val="left"/>
                    <w:rPr>
                      <w:rFonts w:asciiTheme="minorHAnsi" w:hAnsiTheme="minorHAnsi" w:cstheme="minorHAnsi"/>
                      <w:b/>
                      <w:bCs/>
                      <w:color w:val="auto"/>
                      <w:szCs w:val="22"/>
                      <w:lang w:eastAsia="en-GB"/>
                    </w:rPr>
                  </w:pPr>
                </w:p>
              </w:tc>
              <w:tc>
                <w:tcPr>
                  <w:tcW w:w="356" w:type="dxa"/>
                  <w:vAlign w:val="center"/>
                  <w:hideMark/>
                </w:tcPr>
                <w:p w14:paraId="7BD682FF"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b/>
                      <w:bCs/>
                      <w:color w:val="auto"/>
                      <w:szCs w:val="22"/>
                      <w:lang w:eastAsia="en-GB"/>
                    </w:rPr>
                    <w:t>III</w:t>
                  </w:r>
                </w:p>
              </w:tc>
              <w:tc>
                <w:tcPr>
                  <w:tcW w:w="1044" w:type="dxa"/>
                  <w:vAlign w:val="center"/>
                  <w:hideMark/>
                </w:tcPr>
                <w:p w14:paraId="6F6C6094"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915" w:type="dxa"/>
                  <w:vAlign w:val="center"/>
                  <w:hideMark/>
                </w:tcPr>
                <w:p w14:paraId="2BC1F5FE"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1336" w:type="dxa"/>
                  <w:vAlign w:val="center"/>
                  <w:hideMark/>
                </w:tcPr>
                <w:p w14:paraId="4B06DE39"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1336" w:type="dxa"/>
                  <w:vAlign w:val="center"/>
                  <w:hideMark/>
                </w:tcPr>
                <w:p w14:paraId="61881F73"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1066" w:type="dxa"/>
                  <w:vAlign w:val="center"/>
                  <w:hideMark/>
                </w:tcPr>
                <w:p w14:paraId="3E2B6A73"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p>
              </w:tc>
              <w:tc>
                <w:tcPr>
                  <w:tcW w:w="1606" w:type="dxa"/>
                  <w:vAlign w:val="center"/>
                  <w:hideMark/>
                </w:tcPr>
                <w:p w14:paraId="229F984B"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1599" w:type="dxa"/>
                  <w:shd w:val="clear" w:color="auto" w:fill="00FF00"/>
                  <w:vAlign w:val="center"/>
                  <w:hideMark/>
                </w:tcPr>
                <w:p w14:paraId="5FA238E8"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 </w:t>
                  </w:r>
                </w:p>
              </w:tc>
            </w:tr>
            <w:tr w:rsidR="0059651F" w:rsidRPr="0059651F" w14:paraId="3256636B" w14:textId="77777777" w:rsidTr="0059651F">
              <w:trPr>
                <w:tblCellSpacing w:w="7" w:type="dxa"/>
              </w:trPr>
              <w:tc>
                <w:tcPr>
                  <w:tcW w:w="857" w:type="dxa"/>
                  <w:vMerge/>
                  <w:vAlign w:val="center"/>
                  <w:hideMark/>
                </w:tcPr>
                <w:p w14:paraId="2EA77383" w14:textId="77777777" w:rsidR="0059651F" w:rsidRPr="0059651F" w:rsidRDefault="0059651F" w:rsidP="0059651F">
                  <w:pPr>
                    <w:tabs>
                      <w:tab w:val="clear" w:pos="567"/>
                    </w:tabs>
                    <w:spacing w:after="0" w:line="240" w:lineRule="auto"/>
                    <w:jc w:val="left"/>
                    <w:rPr>
                      <w:rFonts w:asciiTheme="minorHAnsi" w:hAnsiTheme="minorHAnsi" w:cstheme="minorHAnsi"/>
                      <w:b/>
                      <w:bCs/>
                      <w:color w:val="auto"/>
                      <w:szCs w:val="22"/>
                      <w:lang w:eastAsia="en-GB"/>
                    </w:rPr>
                  </w:pPr>
                </w:p>
              </w:tc>
              <w:tc>
                <w:tcPr>
                  <w:tcW w:w="356" w:type="dxa"/>
                  <w:vAlign w:val="center"/>
                  <w:hideMark/>
                </w:tcPr>
                <w:p w14:paraId="69073B15"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b/>
                      <w:bCs/>
                      <w:color w:val="auto"/>
                      <w:szCs w:val="22"/>
                      <w:lang w:eastAsia="en-GB"/>
                    </w:rPr>
                    <w:t>IV</w:t>
                  </w:r>
                </w:p>
              </w:tc>
              <w:tc>
                <w:tcPr>
                  <w:tcW w:w="1044" w:type="dxa"/>
                  <w:vAlign w:val="center"/>
                  <w:hideMark/>
                </w:tcPr>
                <w:p w14:paraId="5572944E"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5</w:t>
                  </w:r>
                </w:p>
              </w:tc>
              <w:tc>
                <w:tcPr>
                  <w:tcW w:w="915" w:type="dxa"/>
                  <w:vAlign w:val="center"/>
                  <w:hideMark/>
                </w:tcPr>
                <w:p w14:paraId="27B061F5"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1336" w:type="dxa"/>
                  <w:vAlign w:val="center"/>
                  <w:hideMark/>
                </w:tcPr>
                <w:p w14:paraId="34AAC3E1"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p>
              </w:tc>
              <w:tc>
                <w:tcPr>
                  <w:tcW w:w="1336" w:type="dxa"/>
                  <w:vAlign w:val="center"/>
                  <w:hideMark/>
                </w:tcPr>
                <w:p w14:paraId="16295A58"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5</w:t>
                  </w:r>
                </w:p>
              </w:tc>
              <w:tc>
                <w:tcPr>
                  <w:tcW w:w="1066" w:type="dxa"/>
                  <w:vAlign w:val="center"/>
                  <w:hideMark/>
                </w:tcPr>
                <w:p w14:paraId="4B7BA002"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p>
              </w:tc>
              <w:tc>
                <w:tcPr>
                  <w:tcW w:w="1606" w:type="dxa"/>
                  <w:vAlign w:val="center"/>
                  <w:hideMark/>
                </w:tcPr>
                <w:p w14:paraId="60B655D9"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5</w:t>
                  </w:r>
                </w:p>
              </w:tc>
              <w:tc>
                <w:tcPr>
                  <w:tcW w:w="1599" w:type="dxa"/>
                  <w:shd w:val="clear" w:color="auto" w:fill="DAEEF3"/>
                  <w:vAlign w:val="center"/>
                  <w:hideMark/>
                </w:tcPr>
                <w:p w14:paraId="4E085FF7"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 </w:t>
                  </w:r>
                </w:p>
              </w:tc>
            </w:tr>
            <w:tr w:rsidR="0059651F" w:rsidRPr="0059651F" w14:paraId="7EAC61B7" w14:textId="77777777" w:rsidTr="0059651F">
              <w:trPr>
                <w:tblCellSpacing w:w="7" w:type="dxa"/>
              </w:trPr>
              <w:tc>
                <w:tcPr>
                  <w:tcW w:w="857" w:type="dxa"/>
                  <w:vMerge/>
                  <w:vAlign w:val="center"/>
                  <w:hideMark/>
                </w:tcPr>
                <w:p w14:paraId="3730CDCC" w14:textId="77777777" w:rsidR="0059651F" w:rsidRPr="0059651F" w:rsidRDefault="0059651F" w:rsidP="0059651F">
                  <w:pPr>
                    <w:tabs>
                      <w:tab w:val="clear" w:pos="567"/>
                    </w:tabs>
                    <w:spacing w:after="0" w:line="240" w:lineRule="auto"/>
                    <w:jc w:val="left"/>
                    <w:rPr>
                      <w:rFonts w:asciiTheme="minorHAnsi" w:hAnsiTheme="minorHAnsi" w:cstheme="minorHAnsi"/>
                      <w:b/>
                      <w:bCs/>
                      <w:color w:val="auto"/>
                      <w:szCs w:val="22"/>
                      <w:lang w:eastAsia="en-GB"/>
                    </w:rPr>
                  </w:pPr>
                </w:p>
              </w:tc>
              <w:tc>
                <w:tcPr>
                  <w:tcW w:w="356" w:type="dxa"/>
                  <w:vAlign w:val="center"/>
                  <w:hideMark/>
                </w:tcPr>
                <w:p w14:paraId="6653E15A"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b/>
                      <w:bCs/>
                      <w:color w:val="auto"/>
                      <w:szCs w:val="22"/>
                      <w:lang w:eastAsia="en-GB"/>
                    </w:rPr>
                    <w:t>V</w:t>
                  </w:r>
                </w:p>
              </w:tc>
              <w:tc>
                <w:tcPr>
                  <w:tcW w:w="1044" w:type="dxa"/>
                  <w:vAlign w:val="center"/>
                  <w:hideMark/>
                </w:tcPr>
                <w:p w14:paraId="3AF91628"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915" w:type="dxa"/>
                  <w:vAlign w:val="center"/>
                  <w:hideMark/>
                </w:tcPr>
                <w:p w14:paraId="00D3DBEB"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1336" w:type="dxa"/>
                  <w:vAlign w:val="center"/>
                  <w:hideMark/>
                </w:tcPr>
                <w:p w14:paraId="5AA8829D"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p>
              </w:tc>
              <w:tc>
                <w:tcPr>
                  <w:tcW w:w="1336" w:type="dxa"/>
                  <w:vAlign w:val="center"/>
                  <w:hideMark/>
                </w:tcPr>
                <w:p w14:paraId="0DA79C61"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3</w:t>
                  </w:r>
                </w:p>
              </w:tc>
              <w:tc>
                <w:tcPr>
                  <w:tcW w:w="1066" w:type="dxa"/>
                  <w:vAlign w:val="center"/>
                  <w:hideMark/>
                </w:tcPr>
                <w:p w14:paraId="7226DDEC"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p>
              </w:tc>
              <w:tc>
                <w:tcPr>
                  <w:tcW w:w="1606" w:type="dxa"/>
                  <w:vAlign w:val="center"/>
                  <w:hideMark/>
                </w:tcPr>
                <w:p w14:paraId="581C98C6"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w:t>
                  </w:r>
                  <w:r w:rsidRPr="0059651F">
                    <w:rPr>
                      <w:rFonts w:asciiTheme="minorHAnsi" w:hAnsiTheme="minorHAnsi" w:cstheme="minorHAnsi"/>
                      <w:color w:val="auto"/>
                      <w:szCs w:val="22"/>
                      <w:vertAlign w:val="superscript"/>
                      <w:lang w:eastAsia="en-GB"/>
                    </w:rPr>
                    <w:t>5</w:t>
                  </w:r>
                </w:p>
              </w:tc>
              <w:tc>
                <w:tcPr>
                  <w:tcW w:w="1599" w:type="dxa"/>
                  <w:shd w:val="clear" w:color="auto" w:fill="FF0000"/>
                  <w:vAlign w:val="center"/>
                  <w:hideMark/>
                </w:tcPr>
                <w:p w14:paraId="5C1DCF73" w14:textId="77777777" w:rsidR="0059651F" w:rsidRPr="0059651F" w:rsidRDefault="0059651F" w:rsidP="0059651F">
                  <w:pPr>
                    <w:tabs>
                      <w:tab w:val="clear" w:pos="567"/>
                    </w:tabs>
                    <w:spacing w:after="0" w:line="240" w:lineRule="auto"/>
                    <w:jc w:val="center"/>
                    <w:rPr>
                      <w:rFonts w:asciiTheme="minorHAnsi" w:hAnsiTheme="minorHAnsi" w:cstheme="minorHAnsi"/>
                      <w:color w:val="auto"/>
                      <w:szCs w:val="22"/>
                      <w:lang w:eastAsia="en-GB"/>
                    </w:rPr>
                  </w:pPr>
                  <w:r w:rsidRPr="0059651F">
                    <w:rPr>
                      <w:rFonts w:asciiTheme="minorHAnsi" w:hAnsiTheme="minorHAnsi" w:cstheme="minorHAnsi"/>
                      <w:color w:val="auto"/>
                      <w:szCs w:val="22"/>
                      <w:lang w:eastAsia="en-GB"/>
                    </w:rPr>
                    <w:t> </w:t>
                  </w:r>
                </w:p>
              </w:tc>
            </w:tr>
          </w:tbl>
          <w:p w14:paraId="0B2D76D2" w14:textId="77777777" w:rsidR="0059651F" w:rsidRDefault="0059651F">
            <w:pPr>
              <w:tabs>
                <w:tab w:val="clear" w:pos="567"/>
              </w:tabs>
              <w:spacing w:after="0" w:line="240" w:lineRule="auto"/>
              <w:rPr>
                <w:rFonts w:cs="Calibri"/>
                <w:color w:val="auto"/>
                <w:sz w:val="18"/>
                <w:szCs w:val="18"/>
              </w:rPr>
            </w:pPr>
          </w:p>
          <w:p w14:paraId="141D76F8" w14:textId="77777777" w:rsidR="001D5ED9" w:rsidRPr="005F054B" w:rsidRDefault="001D5ED9">
            <w:pPr>
              <w:tabs>
                <w:tab w:val="clear" w:pos="567"/>
              </w:tabs>
              <w:spacing w:after="0" w:line="240" w:lineRule="auto"/>
              <w:rPr>
                <w:rFonts w:cs="Calibri"/>
                <w:b/>
                <w:color w:val="auto"/>
                <w:sz w:val="18"/>
                <w:szCs w:val="18"/>
                <w:u w:val="single"/>
              </w:rPr>
            </w:pPr>
          </w:p>
          <w:p w14:paraId="6F567E19" w14:textId="77777777" w:rsidR="001D5ED9" w:rsidRPr="005F054B" w:rsidRDefault="001D5ED9">
            <w:pPr>
              <w:tabs>
                <w:tab w:val="clear" w:pos="567"/>
                <w:tab w:val="left" w:pos="2580"/>
              </w:tabs>
              <w:spacing w:after="0" w:line="240" w:lineRule="auto"/>
              <w:rPr>
                <w:rFonts w:cs="Calibri"/>
                <w:color w:val="auto"/>
                <w:sz w:val="18"/>
                <w:szCs w:val="18"/>
              </w:rPr>
            </w:pPr>
            <w:r w:rsidRPr="005F054B">
              <w:rPr>
                <w:rFonts w:cs="Calibri"/>
                <w:color w:val="auto"/>
                <w:sz w:val="18"/>
                <w:szCs w:val="18"/>
              </w:rPr>
              <w:t xml:space="preserve">Explanation to table: </w:t>
            </w:r>
          </w:p>
          <w:p w14:paraId="643084E8" w14:textId="77777777" w:rsidR="001D5ED9" w:rsidRPr="005F054B" w:rsidRDefault="001D5ED9">
            <w:pPr>
              <w:tabs>
                <w:tab w:val="clear" w:pos="567"/>
                <w:tab w:val="left" w:pos="2580"/>
              </w:tabs>
              <w:spacing w:after="0" w:line="240" w:lineRule="auto"/>
              <w:rPr>
                <w:rFonts w:cs="Calibri"/>
                <w:color w:val="auto"/>
                <w:sz w:val="18"/>
                <w:szCs w:val="18"/>
              </w:rPr>
            </w:pPr>
            <w:r w:rsidRPr="005F054B">
              <w:rPr>
                <w:rFonts w:cs="Calibri"/>
                <w:b/>
                <w:color w:val="auto"/>
                <w:sz w:val="18"/>
                <w:szCs w:val="18"/>
                <w:u w:val="single"/>
              </w:rPr>
              <w:t>Key Pressure</w:t>
            </w:r>
          </w:p>
          <w:p w14:paraId="3467B3FD" w14:textId="77777777" w:rsidR="001D5ED9" w:rsidRPr="005F054B" w:rsidRDefault="001D5ED9">
            <w:pPr>
              <w:tabs>
                <w:tab w:val="clear" w:pos="567"/>
              </w:tabs>
              <w:spacing w:after="0" w:line="240" w:lineRule="auto"/>
              <w:rPr>
                <w:rFonts w:cs="Calibri"/>
                <w:color w:val="auto"/>
                <w:sz w:val="18"/>
                <w:szCs w:val="18"/>
              </w:rPr>
            </w:pPr>
            <w:r w:rsidRPr="005F054B">
              <w:rPr>
                <w:rFonts w:cs="Calibri"/>
                <w:b/>
                <w:bCs/>
                <w:color w:val="auto"/>
                <w:sz w:val="18"/>
                <w:szCs w:val="18"/>
              </w:rPr>
              <w:t>↓</w:t>
            </w:r>
            <w:r w:rsidRPr="005F054B">
              <w:rPr>
                <w:rFonts w:cs="Calibri"/>
                <w:b/>
                <w:bCs/>
                <w:color w:val="auto"/>
                <w:sz w:val="18"/>
                <w:szCs w:val="18"/>
              </w:rPr>
              <w:tab/>
            </w:r>
            <w:r w:rsidRPr="005F054B">
              <w:rPr>
                <w:rFonts w:cs="Calibri"/>
                <w:color w:val="auto"/>
                <w:sz w:val="18"/>
                <w:szCs w:val="18"/>
              </w:rPr>
              <w:t xml:space="preserve">key pressures and human activities reducing </w:t>
            </w:r>
          </w:p>
          <w:p w14:paraId="0970C67B" w14:textId="77777777" w:rsidR="001D5ED9" w:rsidRPr="005F054B" w:rsidRDefault="001D5ED9">
            <w:pPr>
              <w:tabs>
                <w:tab w:val="clear" w:pos="567"/>
              </w:tabs>
              <w:spacing w:after="0" w:line="240" w:lineRule="auto"/>
              <w:rPr>
                <w:rFonts w:cs="Calibri"/>
                <w:b/>
                <w:bCs/>
                <w:color w:val="auto"/>
                <w:sz w:val="18"/>
                <w:szCs w:val="18"/>
              </w:rPr>
            </w:pPr>
            <w:r w:rsidRPr="005F054B">
              <w:rPr>
                <w:rFonts w:cs="Calibri"/>
                <w:b/>
                <w:bCs/>
                <w:color w:val="auto"/>
                <w:sz w:val="18"/>
                <w:szCs w:val="18"/>
              </w:rPr>
              <w:t>↑</w:t>
            </w:r>
            <w:r w:rsidRPr="005F054B">
              <w:rPr>
                <w:rFonts w:cs="Calibri"/>
                <w:b/>
                <w:bCs/>
                <w:color w:val="auto"/>
                <w:sz w:val="18"/>
                <w:szCs w:val="18"/>
              </w:rPr>
              <w:tab/>
            </w:r>
            <w:r w:rsidRPr="005F054B">
              <w:rPr>
                <w:rFonts w:cs="Calibri"/>
                <w:color w:val="auto"/>
                <w:sz w:val="18"/>
                <w:szCs w:val="18"/>
              </w:rPr>
              <w:t>key pressures and human activities increasing</w:t>
            </w:r>
          </w:p>
          <w:p w14:paraId="467B20CB" w14:textId="77777777" w:rsidR="001D5ED9" w:rsidRPr="005F054B" w:rsidRDefault="001D5ED9">
            <w:pPr>
              <w:tabs>
                <w:tab w:val="clear" w:pos="567"/>
              </w:tabs>
              <w:spacing w:after="0" w:line="240" w:lineRule="auto"/>
              <w:rPr>
                <w:rFonts w:cs="Calibri"/>
                <w:color w:val="auto"/>
                <w:sz w:val="18"/>
                <w:szCs w:val="18"/>
              </w:rPr>
            </w:pPr>
            <w:r w:rsidRPr="005F054B">
              <w:rPr>
                <w:rFonts w:cs="Calibri"/>
                <w:b/>
                <w:bCs/>
                <w:color w:val="auto"/>
                <w:sz w:val="18"/>
                <w:szCs w:val="18"/>
              </w:rPr>
              <w:t xml:space="preserve">←→ </w:t>
            </w:r>
            <w:r w:rsidRPr="005F054B">
              <w:rPr>
                <w:rFonts w:cs="Calibri"/>
                <w:b/>
                <w:bCs/>
                <w:color w:val="auto"/>
                <w:sz w:val="18"/>
                <w:szCs w:val="18"/>
              </w:rPr>
              <w:tab/>
            </w:r>
            <w:r w:rsidRPr="005F054B">
              <w:rPr>
                <w:rFonts w:cs="Calibri"/>
                <w:color w:val="auto"/>
                <w:sz w:val="18"/>
                <w:szCs w:val="18"/>
              </w:rPr>
              <w:t>no change in key pressures and human activities</w:t>
            </w:r>
          </w:p>
          <w:p w14:paraId="7CA5E9DA" w14:textId="77777777" w:rsidR="001D5ED9" w:rsidRPr="005F054B" w:rsidRDefault="001D5ED9">
            <w:pPr>
              <w:tabs>
                <w:tab w:val="clear" w:pos="567"/>
              </w:tabs>
              <w:spacing w:after="0" w:line="240" w:lineRule="auto"/>
              <w:rPr>
                <w:rFonts w:cs="Calibri"/>
                <w:b/>
                <w:bCs/>
                <w:color w:val="auto"/>
                <w:sz w:val="18"/>
                <w:szCs w:val="18"/>
              </w:rPr>
            </w:pPr>
            <w:r w:rsidRPr="005F054B">
              <w:rPr>
                <w:rFonts w:cs="Calibri"/>
                <w:b/>
                <w:bCs/>
                <w:color w:val="auto"/>
                <w:sz w:val="18"/>
                <w:szCs w:val="18"/>
              </w:rPr>
              <w:t xml:space="preserve">? </w:t>
            </w:r>
            <w:r w:rsidRPr="005F054B">
              <w:rPr>
                <w:rFonts w:cs="Calibri"/>
                <w:color w:val="auto"/>
                <w:sz w:val="18"/>
                <w:szCs w:val="18"/>
              </w:rPr>
              <w:t>Change in pressure and human activities uncertain</w:t>
            </w:r>
          </w:p>
          <w:p w14:paraId="040955CC" w14:textId="77777777" w:rsidR="001D5ED9" w:rsidRPr="005F054B" w:rsidRDefault="001D5ED9">
            <w:pPr>
              <w:tabs>
                <w:tab w:val="clear" w:pos="567"/>
              </w:tabs>
              <w:spacing w:after="0" w:line="240" w:lineRule="auto"/>
              <w:rPr>
                <w:rFonts w:cs="Calibri"/>
                <w:b/>
                <w:color w:val="auto"/>
                <w:sz w:val="18"/>
                <w:szCs w:val="18"/>
                <w:u w:val="single"/>
              </w:rPr>
            </w:pPr>
            <w:r w:rsidRPr="005F054B">
              <w:rPr>
                <w:rFonts w:cs="Calibri"/>
                <w:b/>
                <w:color w:val="auto"/>
                <w:sz w:val="18"/>
                <w:szCs w:val="18"/>
                <w:u w:val="single"/>
              </w:rPr>
              <w:t xml:space="preserve">Threat or impact </w:t>
            </w:r>
            <w:r w:rsidRPr="005F054B">
              <w:rPr>
                <w:rFonts w:cs="Calibri"/>
                <w:color w:val="auto"/>
                <w:sz w:val="18"/>
                <w:szCs w:val="18"/>
              </w:rPr>
              <w:t>[overall assessment]</w:t>
            </w:r>
          </w:p>
          <w:p w14:paraId="752D217D" w14:textId="77777777" w:rsidR="001D5ED9" w:rsidRPr="005F054B" w:rsidRDefault="001D5ED9">
            <w:pPr>
              <w:tabs>
                <w:tab w:val="clear" w:pos="567"/>
              </w:tabs>
              <w:spacing w:after="0" w:line="240" w:lineRule="auto"/>
              <w:rPr>
                <w:rFonts w:cs="Calibri"/>
                <w:color w:val="auto"/>
                <w:sz w:val="18"/>
                <w:szCs w:val="18"/>
              </w:rPr>
            </w:pPr>
            <w:r w:rsidRPr="005F054B">
              <w:rPr>
                <w:rFonts w:cs="Calibri"/>
                <w:color w:val="auto"/>
                <w:sz w:val="18"/>
                <w:szCs w:val="18"/>
                <w:highlight w:val="red"/>
              </w:rPr>
              <w:t>red</w:t>
            </w:r>
            <w:r w:rsidRPr="005F054B">
              <w:rPr>
                <w:rFonts w:cs="Calibri"/>
                <w:color w:val="auto"/>
                <w:sz w:val="18"/>
                <w:szCs w:val="18"/>
              </w:rPr>
              <w:t xml:space="preserve"> – significant threat or impact;</w:t>
            </w:r>
          </w:p>
          <w:p w14:paraId="5F6AA2F5" w14:textId="77777777" w:rsidR="001D5ED9" w:rsidRPr="005F054B" w:rsidRDefault="001D5ED9">
            <w:pPr>
              <w:tabs>
                <w:tab w:val="clear" w:pos="567"/>
              </w:tabs>
              <w:spacing w:after="0" w:line="240" w:lineRule="auto"/>
              <w:rPr>
                <w:rFonts w:cs="Calibri"/>
                <w:color w:val="auto"/>
                <w:sz w:val="18"/>
                <w:szCs w:val="18"/>
              </w:rPr>
            </w:pPr>
            <w:r w:rsidRPr="005F054B">
              <w:rPr>
                <w:rFonts w:cs="Calibri"/>
                <w:color w:val="auto"/>
                <w:sz w:val="18"/>
                <w:szCs w:val="18"/>
                <w:highlight w:val="green"/>
              </w:rPr>
              <w:t>green</w:t>
            </w:r>
            <w:r w:rsidRPr="005F054B">
              <w:rPr>
                <w:rFonts w:cs="Calibri"/>
                <w:color w:val="auto"/>
                <w:sz w:val="18"/>
                <w:szCs w:val="18"/>
              </w:rPr>
              <w:t xml:space="preserve"> –no evidence of a significant threat or impact</w:t>
            </w:r>
          </w:p>
          <w:p w14:paraId="18FA763C" w14:textId="77777777" w:rsidR="001D5ED9" w:rsidRPr="005F054B" w:rsidRDefault="001D5ED9">
            <w:pPr>
              <w:tabs>
                <w:tab w:val="clear" w:pos="567"/>
              </w:tabs>
              <w:spacing w:after="0" w:line="240" w:lineRule="auto"/>
              <w:rPr>
                <w:rFonts w:cs="Calibri"/>
                <w:b/>
                <w:color w:val="auto"/>
                <w:sz w:val="18"/>
                <w:szCs w:val="18"/>
                <w:u w:val="single"/>
              </w:rPr>
            </w:pPr>
            <w:r w:rsidRPr="005F054B">
              <w:rPr>
                <w:rFonts w:cs="Calibri"/>
                <w:color w:val="auto"/>
                <w:sz w:val="18"/>
                <w:szCs w:val="18"/>
                <w:shd w:val="clear" w:color="auto" w:fill="DAEEF3"/>
              </w:rPr>
              <w:t>blue cells</w:t>
            </w:r>
            <w:r w:rsidRPr="005F054B">
              <w:rPr>
                <w:rFonts w:cs="Calibri"/>
                <w:color w:val="auto"/>
                <w:sz w:val="18"/>
                <w:szCs w:val="18"/>
              </w:rPr>
              <w:t xml:space="preserve"> – ? insufficient information available</w:t>
            </w:r>
            <w:r w:rsidRPr="005F054B">
              <w:rPr>
                <w:rFonts w:cs="Calibri"/>
                <w:b/>
                <w:color w:val="auto"/>
                <w:sz w:val="18"/>
                <w:szCs w:val="18"/>
                <w:u w:val="single"/>
              </w:rPr>
              <w:t xml:space="preserve"> </w:t>
            </w:r>
          </w:p>
          <w:p w14:paraId="5B969E7B" w14:textId="77777777" w:rsidR="001D5ED9" w:rsidRPr="005F054B" w:rsidRDefault="001D5ED9">
            <w:pPr>
              <w:tabs>
                <w:tab w:val="clear" w:pos="567"/>
              </w:tabs>
              <w:spacing w:after="0" w:line="240" w:lineRule="auto"/>
              <w:rPr>
                <w:rFonts w:cs="Calibri"/>
                <w:b/>
                <w:color w:val="auto"/>
                <w:sz w:val="18"/>
                <w:szCs w:val="18"/>
              </w:rPr>
            </w:pPr>
            <w:r w:rsidRPr="005F054B">
              <w:rPr>
                <w:rFonts w:cs="Calibri"/>
                <w:bCs/>
                <w:color w:val="auto"/>
                <w:sz w:val="18"/>
                <w:szCs w:val="18"/>
              </w:rPr>
              <w:t>NA – not applicable</w:t>
            </w:r>
          </w:p>
          <w:p w14:paraId="3C4AC7D9" w14:textId="77777777" w:rsidR="001D5ED9" w:rsidRPr="005F054B" w:rsidRDefault="001D5ED9">
            <w:pPr>
              <w:tabs>
                <w:tab w:val="clear" w:pos="567"/>
              </w:tabs>
              <w:spacing w:after="0" w:line="240" w:lineRule="auto"/>
              <w:rPr>
                <w:rFonts w:cs="Calibri"/>
                <w:b/>
                <w:color w:val="auto"/>
                <w:sz w:val="18"/>
                <w:szCs w:val="18"/>
                <w:u w:val="single"/>
              </w:rPr>
            </w:pPr>
            <w:r w:rsidRPr="005F054B">
              <w:rPr>
                <w:rFonts w:cs="Calibri"/>
                <w:b/>
                <w:color w:val="auto"/>
                <w:sz w:val="18"/>
                <w:szCs w:val="18"/>
                <w:u w:val="single"/>
              </w:rPr>
              <w:t>Types of assessment:</w:t>
            </w:r>
          </w:p>
          <w:p w14:paraId="1BE1B0A4" w14:textId="77777777" w:rsidR="001D5ED9" w:rsidRPr="005F054B" w:rsidRDefault="001D5ED9">
            <w:pPr>
              <w:tabs>
                <w:tab w:val="clear" w:pos="567"/>
              </w:tabs>
              <w:spacing w:after="0" w:line="240" w:lineRule="auto"/>
              <w:rPr>
                <w:rFonts w:cs="Calibri"/>
                <w:color w:val="auto"/>
                <w:sz w:val="18"/>
                <w:szCs w:val="18"/>
              </w:rPr>
            </w:pPr>
            <w:r w:rsidRPr="005F054B">
              <w:rPr>
                <w:rFonts w:cs="Calibri"/>
                <w:color w:val="auto"/>
                <w:sz w:val="18"/>
                <w:szCs w:val="18"/>
              </w:rPr>
              <w:t xml:space="preserve">1 – direct data driven, </w:t>
            </w:r>
          </w:p>
          <w:p w14:paraId="3C425121" w14:textId="77777777" w:rsidR="001D5ED9" w:rsidRPr="005F054B" w:rsidRDefault="001D5ED9">
            <w:pPr>
              <w:tabs>
                <w:tab w:val="clear" w:pos="567"/>
              </w:tabs>
              <w:spacing w:after="0" w:line="240" w:lineRule="auto"/>
              <w:rPr>
                <w:rFonts w:cs="Calibri"/>
                <w:color w:val="auto"/>
                <w:sz w:val="18"/>
                <w:szCs w:val="18"/>
              </w:rPr>
            </w:pPr>
            <w:r w:rsidRPr="005F054B">
              <w:rPr>
                <w:rFonts w:cs="Calibri"/>
                <w:color w:val="auto"/>
                <w:sz w:val="18"/>
                <w:szCs w:val="18"/>
              </w:rPr>
              <w:t xml:space="preserve">2 – indirect data driven, </w:t>
            </w:r>
          </w:p>
          <w:p w14:paraId="572F38C0" w14:textId="77777777" w:rsidR="001D5ED9" w:rsidRPr="005F054B" w:rsidRDefault="001D5ED9">
            <w:pPr>
              <w:tabs>
                <w:tab w:val="clear" w:pos="567"/>
              </w:tabs>
              <w:spacing w:after="0" w:line="240" w:lineRule="auto"/>
              <w:rPr>
                <w:rFonts w:cs="Calibri"/>
                <w:color w:val="auto"/>
                <w:sz w:val="18"/>
                <w:szCs w:val="18"/>
              </w:rPr>
            </w:pPr>
            <w:r w:rsidRPr="005F054B">
              <w:rPr>
                <w:rFonts w:cs="Calibri"/>
                <w:color w:val="auto"/>
                <w:sz w:val="18"/>
                <w:szCs w:val="18"/>
              </w:rPr>
              <w:t xml:space="preserve">3 – third party assessment close-geographic match, </w:t>
            </w:r>
          </w:p>
          <w:p w14:paraId="49A10ED1" w14:textId="77777777" w:rsidR="001D5ED9" w:rsidRPr="005F054B" w:rsidRDefault="001D5ED9">
            <w:pPr>
              <w:tabs>
                <w:tab w:val="clear" w:pos="567"/>
              </w:tabs>
              <w:spacing w:after="0" w:line="240" w:lineRule="auto"/>
              <w:rPr>
                <w:rFonts w:cs="Calibri"/>
                <w:color w:val="auto"/>
                <w:sz w:val="18"/>
                <w:szCs w:val="18"/>
              </w:rPr>
            </w:pPr>
            <w:r w:rsidRPr="005F054B">
              <w:rPr>
                <w:rFonts w:cs="Calibri"/>
                <w:color w:val="auto"/>
                <w:sz w:val="18"/>
                <w:szCs w:val="18"/>
              </w:rPr>
              <w:t xml:space="preserve">4 - third party assessment partial-geographic match  </w:t>
            </w:r>
          </w:p>
          <w:p w14:paraId="2B9E2869" w14:textId="1CBDC6D2" w:rsidR="001D5ED9" w:rsidRPr="005F054B" w:rsidRDefault="001D5ED9">
            <w:pPr>
              <w:tabs>
                <w:tab w:val="clear" w:pos="567"/>
              </w:tabs>
              <w:spacing w:after="0" w:line="240" w:lineRule="auto"/>
              <w:rPr>
                <w:rFonts w:cs="Calibri"/>
                <w:color w:val="auto"/>
                <w:sz w:val="18"/>
                <w:szCs w:val="18"/>
              </w:rPr>
            </w:pPr>
            <w:r w:rsidRPr="005F054B">
              <w:rPr>
                <w:rFonts w:cs="Calibri"/>
                <w:color w:val="auto"/>
                <w:sz w:val="18"/>
                <w:szCs w:val="18"/>
              </w:rPr>
              <w:t>5 – expert judgement.</w:t>
            </w:r>
          </w:p>
        </w:tc>
      </w:tr>
    </w:tbl>
    <w:p w14:paraId="08AB14CC" w14:textId="77777777" w:rsidR="001D5ED9" w:rsidRPr="005F054B" w:rsidRDefault="001D5ED9" w:rsidP="001D5ED9">
      <w:pPr>
        <w:tabs>
          <w:tab w:val="clear" w:pos="567"/>
        </w:tabs>
        <w:spacing w:after="160" w:line="259" w:lineRule="auto"/>
        <w:rPr>
          <w:rFonts w:eastAsia="Calibri"/>
          <w:color w:val="auto"/>
          <w:szCs w:val="22"/>
        </w:rPr>
      </w:pPr>
    </w:p>
    <w:p w14:paraId="264995E0" w14:textId="77777777" w:rsidR="001D5ED9" w:rsidRPr="005F054B" w:rsidRDefault="001D5ED9" w:rsidP="001D5ED9">
      <w:pPr>
        <w:tabs>
          <w:tab w:val="clear" w:pos="567"/>
        </w:tabs>
        <w:spacing w:after="160" w:line="259" w:lineRule="auto"/>
        <w:rPr>
          <w:rFonts w:eastAsia="Calibri"/>
          <w:color w:val="auto"/>
          <w:szCs w:val="22"/>
        </w:rPr>
        <w:sectPr w:rsidR="001D5ED9" w:rsidRPr="005F054B" w:rsidSect="001605BE">
          <w:pgSz w:w="16838" w:h="11906" w:orient="landscape"/>
          <w:pgMar w:top="1440" w:right="1440" w:bottom="1440" w:left="1440" w:header="706" w:footer="706" w:gutter="0"/>
          <w:cols w:space="708"/>
          <w:docGrid w:linePitch="360"/>
        </w:sectPr>
      </w:pPr>
    </w:p>
    <w:tbl>
      <w:tblPr>
        <w:tblStyle w:val="TableGrid12"/>
        <w:tblW w:w="9351" w:type="dxa"/>
        <w:tblLayout w:type="fixed"/>
        <w:tblLook w:val="04A0" w:firstRow="1" w:lastRow="0" w:firstColumn="1" w:lastColumn="0" w:noHBand="0" w:noVBand="1"/>
      </w:tblPr>
      <w:tblGrid>
        <w:gridCol w:w="2451"/>
        <w:gridCol w:w="6900"/>
      </w:tblGrid>
      <w:tr w:rsidR="001D5ED9" w:rsidRPr="005F054B" w14:paraId="149F7CDD" w14:textId="77777777">
        <w:trPr>
          <w:trHeight w:val="409"/>
        </w:trPr>
        <w:tc>
          <w:tcPr>
            <w:tcW w:w="2451" w:type="dxa"/>
            <w:tcBorders>
              <w:bottom w:val="single" w:sz="4" w:space="0" w:color="auto"/>
            </w:tcBorders>
          </w:tcPr>
          <w:p w14:paraId="70077BF4"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lastRenderedPageBreak/>
              <w:t>Confidence</w:t>
            </w:r>
          </w:p>
        </w:tc>
        <w:tc>
          <w:tcPr>
            <w:tcW w:w="6900" w:type="dxa"/>
            <w:tcBorders>
              <w:bottom w:val="single" w:sz="4" w:space="0" w:color="auto"/>
            </w:tcBorders>
          </w:tcPr>
          <w:p w14:paraId="6A2B27B7"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High</w:t>
            </w:r>
          </w:p>
        </w:tc>
      </w:tr>
      <w:tr w:rsidR="001D5ED9" w:rsidRPr="005F054B" w14:paraId="316ACD5E" w14:textId="77777777">
        <w:tc>
          <w:tcPr>
            <w:tcW w:w="2451" w:type="dxa"/>
          </w:tcPr>
          <w:p w14:paraId="4585D48B"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Background Information</w:t>
            </w:r>
          </w:p>
          <w:p w14:paraId="3A37C36B"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 </w:t>
            </w:r>
            <w:proofErr w:type="gramStart"/>
            <w:r w:rsidRPr="005F054B">
              <w:rPr>
                <w:rFonts w:cs="Calibri"/>
                <w:color w:val="auto"/>
                <w:sz w:val="24"/>
              </w:rPr>
              <w:t>100 words maximum</w:t>
            </w:r>
            <w:proofErr w:type="gramEnd"/>
            <w:r w:rsidRPr="005F054B">
              <w:rPr>
                <w:rFonts w:cs="Calibri"/>
                <w:color w:val="auto"/>
                <w:sz w:val="24"/>
              </w:rPr>
              <w:t xml:space="preserve">  </w:t>
            </w:r>
          </w:p>
          <w:p w14:paraId="0850C16E" w14:textId="77777777" w:rsidR="001D5ED9" w:rsidRPr="005F054B" w:rsidRDefault="001D5ED9">
            <w:pPr>
              <w:tabs>
                <w:tab w:val="clear" w:pos="567"/>
              </w:tabs>
              <w:spacing w:line="240" w:lineRule="auto"/>
              <w:rPr>
                <w:rFonts w:cs="Calibri"/>
                <w:color w:val="auto"/>
                <w:sz w:val="24"/>
              </w:rPr>
            </w:pPr>
          </w:p>
        </w:tc>
        <w:tc>
          <w:tcPr>
            <w:tcW w:w="6900" w:type="dxa"/>
          </w:tcPr>
          <w:p w14:paraId="1D195F79" w14:textId="77777777" w:rsidR="001D5ED9" w:rsidRPr="005F054B" w:rsidRDefault="001D5ED9">
            <w:pPr>
              <w:numPr>
                <w:ilvl w:val="0"/>
                <w:numId w:val="31"/>
              </w:numPr>
              <w:tabs>
                <w:tab w:val="clear" w:pos="567"/>
              </w:tabs>
              <w:spacing w:after="0" w:line="240" w:lineRule="auto"/>
              <w:contextualSpacing/>
              <w:rPr>
                <w:rFonts w:cs="Calibri"/>
                <w:color w:val="auto"/>
                <w:sz w:val="24"/>
              </w:rPr>
            </w:pPr>
            <w:r w:rsidRPr="005F054B">
              <w:rPr>
                <w:rFonts w:cs="Calibri"/>
                <w:color w:val="auto"/>
                <w:sz w:val="24"/>
              </w:rPr>
              <w:t>Year added to OSPAR List: 2003 (OSPAR 2008)</w:t>
            </w:r>
          </w:p>
          <w:p w14:paraId="71705582" w14:textId="77777777" w:rsidR="001D5ED9" w:rsidRPr="005F054B" w:rsidRDefault="001D5ED9">
            <w:pPr>
              <w:numPr>
                <w:ilvl w:val="0"/>
                <w:numId w:val="31"/>
              </w:numPr>
              <w:tabs>
                <w:tab w:val="clear" w:pos="567"/>
              </w:tabs>
              <w:spacing w:after="0" w:line="240" w:lineRule="auto"/>
              <w:contextualSpacing/>
              <w:rPr>
                <w:rFonts w:cs="Calibri"/>
                <w:color w:val="auto"/>
                <w:sz w:val="24"/>
              </w:rPr>
            </w:pPr>
            <w:r w:rsidRPr="005F054B">
              <w:rPr>
                <w:rFonts w:cs="Calibri"/>
                <w:color w:val="auto"/>
                <w:sz w:val="24"/>
              </w:rPr>
              <w:t>The original evaluation of Roseate tern against the Texel-Faial criteria referred to regional importance, rarity, sensitivity and decline, with information also provided on threat</w:t>
            </w:r>
          </w:p>
          <w:p w14:paraId="7D8D5109" w14:textId="77777777" w:rsidR="001D5ED9" w:rsidRPr="005F054B" w:rsidRDefault="001D5ED9">
            <w:pPr>
              <w:numPr>
                <w:ilvl w:val="0"/>
                <w:numId w:val="31"/>
              </w:numPr>
              <w:tabs>
                <w:tab w:val="clear" w:pos="567"/>
              </w:tabs>
              <w:spacing w:after="0" w:line="240" w:lineRule="auto"/>
              <w:contextualSpacing/>
              <w:rPr>
                <w:rFonts w:cs="Calibri"/>
                <w:color w:val="auto"/>
                <w:sz w:val="24"/>
              </w:rPr>
            </w:pPr>
            <w:r w:rsidRPr="005F054B">
              <w:rPr>
                <w:rFonts w:cs="Calibri"/>
                <w:color w:val="auto"/>
                <w:sz w:val="24"/>
              </w:rPr>
              <w:t>Last status assessment: 2009. OSPAR (2009) assessment was conducted shortly after the species case report. Although the species was assessed as no longer in catastrophic decline, it had been undoubtedly rare and at risk because of restricted breeding range. The population was fluctuating, and had not recovered from former, severe declines.</w:t>
            </w:r>
          </w:p>
        </w:tc>
      </w:tr>
      <w:tr w:rsidR="001D5ED9" w:rsidRPr="005F054B" w14:paraId="0366774C" w14:textId="77777777">
        <w:tc>
          <w:tcPr>
            <w:tcW w:w="2451" w:type="dxa"/>
          </w:tcPr>
          <w:p w14:paraId="695555CE"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Geographical range and distribution</w:t>
            </w:r>
          </w:p>
          <w:p w14:paraId="09C9A4B1"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- 100 words + map/infographic)</w:t>
            </w:r>
          </w:p>
          <w:p w14:paraId="17BFE083" w14:textId="77777777" w:rsidR="001D5ED9" w:rsidRPr="005F054B" w:rsidRDefault="001D5ED9">
            <w:pPr>
              <w:tabs>
                <w:tab w:val="clear" w:pos="567"/>
              </w:tabs>
              <w:spacing w:line="240" w:lineRule="auto"/>
              <w:rPr>
                <w:rFonts w:cs="Calibri"/>
                <w:color w:val="auto"/>
                <w:sz w:val="24"/>
              </w:rPr>
            </w:pPr>
          </w:p>
        </w:tc>
        <w:tc>
          <w:tcPr>
            <w:tcW w:w="6900" w:type="dxa"/>
          </w:tcPr>
          <w:p w14:paraId="3714BCA2" w14:textId="79FF0627"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The breeding distribution of Roseate tern experienced little change since </w:t>
            </w:r>
            <w:r w:rsidR="00E60707">
              <w:rPr>
                <w:rFonts w:cs="Calibri"/>
                <w:color w:val="auto"/>
                <w:sz w:val="24"/>
              </w:rPr>
              <w:t xml:space="preserve">the </w:t>
            </w:r>
            <w:r w:rsidRPr="005F054B">
              <w:rPr>
                <w:rFonts w:cs="Calibri"/>
                <w:color w:val="auto"/>
                <w:sz w:val="24"/>
              </w:rPr>
              <w:t xml:space="preserve">2009 assessment. The most notable was found in Brittany (France), after the returning of birds to a historic colony of </w:t>
            </w:r>
            <w:r w:rsidR="001537C0">
              <w:rPr>
                <w:rFonts w:cs="Calibri"/>
                <w:color w:val="auto"/>
                <w:sz w:val="24"/>
              </w:rPr>
              <w:t>Bay of Biscay and Iberian Coast</w:t>
            </w:r>
            <w:r w:rsidR="001537C0" w:rsidRPr="005F054B">
              <w:rPr>
                <w:rFonts w:cs="Calibri"/>
                <w:color w:val="auto"/>
                <w:sz w:val="24"/>
              </w:rPr>
              <w:t xml:space="preserve"> </w:t>
            </w:r>
            <w:r w:rsidR="001537C0">
              <w:rPr>
                <w:rFonts w:cs="Calibri"/>
                <w:color w:val="auto"/>
                <w:sz w:val="24"/>
              </w:rPr>
              <w:t>(</w:t>
            </w:r>
            <w:r w:rsidRPr="005F054B">
              <w:rPr>
                <w:rFonts w:cs="Calibri"/>
                <w:color w:val="auto"/>
                <w:sz w:val="24"/>
              </w:rPr>
              <w:t>Region IV</w:t>
            </w:r>
            <w:r w:rsidR="00E60707">
              <w:rPr>
                <w:rFonts w:cs="Calibri"/>
                <w:color w:val="auto"/>
                <w:sz w:val="24"/>
              </w:rPr>
              <w:t>)</w:t>
            </w:r>
            <w:r w:rsidRPr="005F054B">
              <w:rPr>
                <w:rFonts w:cs="Calibri"/>
                <w:color w:val="auto"/>
                <w:sz w:val="24"/>
              </w:rPr>
              <w:t xml:space="preserve"> in 2011, following the collapse </w:t>
            </w:r>
            <w:r w:rsidRPr="005F054B">
              <w:rPr>
                <w:rFonts w:cs="Calibri"/>
                <w:iCs/>
                <w:color w:val="auto"/>
                <w:sz w:val="24"/>
              </w:rPr>
              <w:t xml:space="preserve">of other Brittany colonies located in </w:t>
            </w:r>
            <w:r w:rsidR="001537C0">
              <w:rPr>
                <w:rFonts w:cs="Calibri"/>
                <w:iCs/>
                <w:color w:val="auto"/>
                <w:sz w:val="24"/>
              </w:rPr>
              <w:t>the Celtic Seas (</w:t>
            </w:r>
            <w:r w:rsidRPr="005F054B">
              <w:rPr>
                <w:rFonts w:cs="Calibri"/>
                <w:iCs/>
                <w:color w:val="auto"/>
                <w:sz w:val="24"/>
              </w:rPr>
              <w:t>Region III</w:t>
            </w:r>
            <w:r w:rsidR="001537C0">
              <w:rPr>
                <w:rFonts w:cs="Calibri"/>
                <w:iCs/>
                <w:color w:val="auto"/>
                <w:sz w:val="24"/>
              </w:rPr>
              <w:t xml:space="preserve">). </w:t>
            </w:r>
            <w:r w:rsidRPr="005F054B">
              <w:rPr>
                <w:rFonts w:cs="Calibri"/>
                <w:iCs/>
                <w:color w:val="auto"/>
                <w:sz w:val="24"/>
              </w:rPr>
              <w:t xml:space="preserve">Other than that, the species </w:t>
            </w:r>
            <w:proofErr w:type="gramStart"/>
            <w:r w:rsidRPr="005F054B">
              <w:rPr>
                <w:rFonts w:cs="Calibri"/>
                <w:iCs/>
                <w:color w:val="auto"/>
                <w:sz w:val="24"/>
              </w:rPr>
              <w:t>is</w:t>
            </w:r>
            <w:proofErr w:type="gramEnd"/>
            <w:r w:rsidRPr="005F054B">
              <w:rPr>
                <w:rFonts w:cs="Calibri"/>
                <w:color w:val="auto"/>
                <w:sz w:val="24"/>
              </w:rPr>
              <w:t xml:space="preserve"> still confined to a few colonies in </w:t>
            </w:r>
            <w:r w:rsidR="004C4A95">
              <w:rPr>
                <w:rFonts w:cs="Calibri"/>
                <w:color w:val="auto"/>
                <w:sz w:val="24"/>
              </w:rPr>
              <w:t>Region II</w:t>
            </w:r>
            <w:r w:rsidRPr="005F054B">
              <w:rPr>
                <w:rFonts w:cs="Calibri"/>
                <w:color w:val="auto"/>
                <w:sz w:val="24"/>
              </w:rPr>
              <w:t xml:space="preserve">, </w:t>
            </w:r>
            <w:r w:rsidR="00E60707">
              <w:rPr>
                <w:rFonts w:cs="Calibri"/>
                <w:color w:val="auto"/>
                <w:sz w:val="24"/>
              </w:rPr>
              <w:t xml:space="preserve">Region </w:t>
            </w:r>
            <w:r w:rsidRPr="005F054B">
              <w:rPr>
                <w:rFonts w:cs="Calibri"/>
                <w:color w:val="auto"/>
                <w:sz w:val="24"/>
              </w:rPr>
              <w:t>III</w:t>
            </w:r>
            <w:r w:rsidR="004C4A95">
              <w:rPr>
                <w:rFonts w:cs="Calibri"/>
                <w:color w:val="auto"/>
                <w:sz w:val="24"/>
              </w:rPr>
              <w:t xml:space="preserve"> </w:t>
            </w:r>
            <w:r w:rsidRPr="005F054B">
              <w:rPr>
                <w:rFonts w:cs="Calibri"/>
                <w:color w:val="auto"/>
                <w:sz w:val="24"/>
              </w:rPr>
              <w:t xml:space="preserve">and </w:t>
            </w:r>
            <w:r w:rsidR="00E60707">
              <w:rPr>
                <w:rFonts w:cs="Calibri"/>
                <w:color w:val="auto"/>
                <w:sz w:val="24"/>
              </w:rPr>
              <w:t xml:space="preserve">Region </w:t>
            </w:r>
            <w:r w:rsidRPr="005F054B">
              <w:rPr>
                <w:rFonts w:cs="Calibri"/>
                <w:color w:val="auto"/>
                <w:sz w:val="24"/>
              </w:rPr>
              <w:t>V</w:t>
            </w:r>
            <w:r w:rsidR="004C4A95">
              <w:rPr>
                <w:rFonts w:cs="Calibri"/>
                <w:color w:val="auto"/>
                <w:sz w:val="24"/>
              </w:rPr>
              <w:t xml:space="preserve"> (Wider Atlantic</w:t>
            </w:r>
            <w:r w:rsidR="00E60707">
              <w:rPr>
                <w:rFonts w:cs="Calibri"/>
                <w:color w:val="auto"/>
                <w:sz w:val="24"/>
              </w:rPr>
              <w:t>)</w:t>
            </w:r>
            <w:r w:rsidRPr="005F054B">
              <w:rPr>
                <w:rFonts w:cs="Calibri"/>
                <w:color w:val="auto"/>
                <w:sz w:val="24"/>
              </w:rPr>
              <w:t>, with a noticeable shrink of Azorean colonies before the 2009 assessment</w:t>
            </w:r>
            <w:r w:rsidR="00A43FD3">
              <w:rPr>
                <w:rFonts w:cs="Calibri"/>
                <w:color w:val="auto"/>
                <w:sz w:val="24"/>
              </w:rPr>
              <w:t xml:space="preserve"> (</w:t>
            </w:r>
            <w:r w:rsidR="00A43FD3" w:rsidRPr="004C4A95">
              <w:rPr>
                <w:rFonts w:cs="Calibri"/>
                <w:b/>
                <w:bCs/>
                <w:color w:val="auto"/>
                <w:sz w:val="24"/>
              </w:rPr>
              <w:t>Figure 1</w:t>
            </w:r>
            <w:r w:rsidR="00A43FD3">
              <w:rPr>
                <w:rFonts w:cs="Calibri"/>
                <w:color w:val="auto"/>
                <w:sz w:val="24"/>
              </w:rPr>
              <w:t>)</w:t>
            </w:r>
            <w:r w:rsidRPr="005F054B">
              <w:rPr>
                <w:rFonts w:cs="Calibri"/>
                <w:color w:val="auto"/>
                <w:sz w:val="24"/>
              </w:rPr>
              <w:t>. All OSPAR populations winter outside of the OSPAR area, mostly in West Africa and Brazil.</w:t>
            </w:r>
          </w:p>
          <w:p w14:paraId="319571C9" w14:textId="77777777" w:rsidR="001D5ED9" w:rsidRPr="005F054B" w:rsidRDefault="001D5ED9">
            <w:pPr>
              <w:tabs>
                <w:tab w:val="clear" w:pos="567"/>
              </w:tabs>
              <w:spacing w:line="240" w:lineRule="auto"/>
              <w:rPr>
                <w:rFonts w:cs="Calibri"/>
                <w:color w:val="auto"/>
                <w:sz w:val="24"/>
              </w:rPr>
            </w:pPr>
          </w:p>
          <w:p w14:paraId="4D3B0B2E" w14:textId="77777777" w:rsidR="001D5ED9" w:rsidRPr="005F054B" w:rsidRDefault="001D5ED9">
            <w:pPr>
              <w:tabs>
                <w:tab w:val="clear" w:pos="567"/>
              </w:tabs>
              <w:spacing w:line="240" w:lineRule="auto"/>
              <w:rPr>
                <w:rFonts w:cs="Calibri"/>
                <w:color w:val="auto"/>
                <w:sz w:val="24"/>
              </w:rPr>
            </w:pPr>
            <w:r w:rsidRPr="005F054B">
              <w:rPr>
                <w:rFonts w:cs="Calibri"/>
                <w:noProof/>
                <w:color w:val="auto"/>
                <w:sz w:val="24"/>
                <w:lang w:val="pt-PT" w:eastAsia="pt-PT"/>
                <w14:ligatures w14:val="standardContextual"/>
              </w:rPr>
              <w:drawing>
                <wp:inline distT="0" distB="0" distL="0" distR="0" wp14:anchorId="14F1CFCB" wp14:editId="59CF3E80">
                  <wp:extent cx="4320000" cy="3055014"/>
                  <wp:effectExtent l="0" t="0" r="4445" b="0"/>
                  <wp:docPr id="8" name="Imagem 8" descr="A map of the ospar reg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A map of the ospar region&#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0000" cy="3055014"/>
                          </a:xfrm>
                          <a:prstGeom prst="rect">
                            <a:avLst/>
                          </a:prstGeom>
                        </pic:spPr>
                      </pic:pic>
                    </a:graphicData>
                  </a:graphic>
                </wp:inline>
              </w:drawing>
            </w:r>
          </w:p>
          <w:p w14:paraId="6D28B169"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Figure 1. Roseate tern distribution range within the OSPAR area, following Piec &amp; Dunn (2021). Direction of population abundance trends since the last assessment is also presented.</w:t>
            </w:r>
          </w:p>
          <w:p w14:paraId="4D2AF0D8"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lastRenderedPageBreak/>
              <w:t>Method of assessment: 2a – sources: Cabot (1996), Piec &amp; Dunn (2021), Quemmerais-Amice (2011).</w:t>
            </w:r>
          </w:p>
        </w:tc>
      </w:tr>
      <w:tr w:rsidR="001D5ED9" w:rsidRPr="005F054B" w14:paraId="3E8401FD" w14:textId="77777777">
        <w:tc>
          <w:tcPr>
            <w:tcW w:w="2451" w:type="dxa"/>
          </w:tcPr>
          <w:p w14:paraId="0CFB5682" w14:textId="77777777" w:rsidR="001D5ED9" w:rsidRPr="005F054B" w:rsidRDefault="001D5ED9">
            <w:pPr>
              <w:tabs>
                <w:tab w:val="clear" w:pos="567"/>
              </w:tabs>
              <w:spacing w:line="240" w:lineRule="auto"/>
              <w:rPr>
                <w:rFonts w:cs="Calibri"/>
                <w:color w:val="auto"/>
                <w:sz w:val="24"/>
                <w:lang w:val="fr-FR"/>
              </w:rPr>
            </w:pPr>
            <w:r w:rsidRPr="005F054B">
              <w:rPr>
                <w:rFonts w:cs="Calibri"/>
                <w:color w:val="auto"/>
                <w:sz w:val="24"/>
                <w:lang w:val="fr-FR"/>
              </w:rPr>
              <w:lastRenderedPageBreak/>
              <w:t>Population/abundance (species)</w:t>
            </w:r>
          </w:p>
          <w:p w14:paraId="21328009" w14:textId="77777777" w:rsidR="001D5ED9" w:rsidRPr="005F054B" w:rsidRDefault="001D5ED9">
            <w:pPr>
              <w:tabs>
                <w:tab w:val="clear" w:pos="567"/>
              </w:tabs>
              <w:spacing w:line="240" w:lineRule="auto"/>
              <w:rPr>
                <w:rFonts w:cs="Calibri"/>
                <w:color w:val="auto"/>
                <w:sz w:val="24"/>
                <w:lang w:val="fr-FR"/>
              </w:rPr>
            </w:pPr>
            <w:r w:rsidRPr="005F054B">
              <w:rPr>
                <w:rFonts w:cs="Calibri"/>
                <w:color w:val="auto"/>
                <w:sz w:val="24"/>
                <w:lang w:val="fr-FR"/>
              </w:rPr>
              <w:t>Extent (habitats)</w:t>
            </w:r>
          </w:p>
          <w:p w14:paraId="2966A5B3" w14:textId="77777777" w:rsidR="001D5ED9" w:rsidRPr="005F054B" w:rsidRDefault="001D5ED9">
            <w:pPr>
              <w:tabs>
                <w:tab w:val="clear" w:pos="567"/>
              </w:tabs>
              <w:spacing w:line="240" w:lineRule="auto"/>
              <w:rPr>
                <w:rFonts w:cs="Calibri"/>
                <w:color w:val="auto"/>
                <w:sz w:val="24"/>
                <w:lang w:val="fr-FR"/>
              </w:rPr>
            </w:pPr>
          </w:p>
          <w:p w14:paraId="61EF81FE" w14:textId="77777777" w:rsidR="001D5ED9" w:rsidRPr="005F054B" w:rsidRDefault="001D5ED9">
            <w:pPr>
              <w:tabs>
                <w:tab w:val="clear" w:pos="567"/>
              </w:tabs>
              <w:spacing w:line="240" w:lineRule="auto"/>
              <w:rPr>
                <w:rFonts w:cs="Calibri"/>
                <w:color w:val="auto"/>
                <w:sz w:val="24"/>
              </w:rPr>
            </w:pPr>
            <w:r w:rsidRPr="005F054B">
              <w:rPr>
                <w:rFonts w:cs="Calibri"/>
                <w:color w:val="auto"/>
                <w:sz w:val="24"/>
                <w:lang w:val="fr-FR"/>
              </w:rPr>
              <w:t xml:space="preserve"> </w:t>
            </w:r>
            <w:r w:rsidRPr="005F054B">
              <w:rPr>
                <w:rFonts w:cs="Calibri"/>
                <w:color w:val="auto"/>
                <w:sz w:val="24"/>
              </w:rPr>
              <w:t>- 100 words + figure)</w:t>
            </w:r>
          </w:p>
          <w:p w14:paraId="3C5ACF6E" w14:textId="77777777" w:rsidR="001D5ED9" w:rsidRPr="005F054B" w:rsidRDefault="001D5ED9">
            <w:pPr>
              <w:tabs>
                <w:tab w:val="clear" w:pos="567"/>
              </w:tabs>
              <w:spacing w:line="240" w:lineRule="auto"/>
              <w:rPr>
                <w:rFonts w:cs="Calibri"/>
                <w:color w:val="auto"/>
                <w:sz w:val="24"/>
              </w:rPr>
            </w:pPr>
          </w:p>
        </w:tc>
        <w:tc>
          <w:tcPr>
            <w:tcW w:w="6900" w:type="dxa"/>
          </w:tcPr>
          <w:p w14:paraId="02D486DB" w14:textId="0B752350" w:rsidR="001D5ED9" w:rsidRPr="005F054B" w:rsidRDefault="001D5ED9">
            <w:pPr>
              <w:tabs>
                <w:tab w:val="clear" w:pos="567"/>
              </w:tabs>
              <w:spacing w:after="0" w:line="240" w:lineRule="auto"/>
              <w:jc w:val="left"/>
              <w:rPr>
                <w:rFonts w:cs="Calibri"/>
                <w:color w:val="auto"/>
                <w:sz w:val="24"/>
              </w:rPr>
            </w:pPr>
            <w:r w:rsidRPr="005F054B">
              <w:rPr>
                <w:rFonts w:cs="Calibri"/>
                <w:color w:val="auto"/>
                <w:sz w:val="24"/>
              </w:rPr>
              <w:t>Trends in relative abundance (</w:t>
            </w:r>
            <w:r w:rsidRPr="004C4A95">
              <w:rPr>
                <w:rFonts w:cs="Calibri"/>
                <w:b/>
                <w:bCs/>
                <w:color w:val="auto"/>
                <w:sz w:val="24"/>
              </w:rPr>
              <w:t>Figure 2</w:t>
            </w:r>
            <w:r w:rsidRPr="005F054B">
              <w:rPr>
                <w:rFonts w:cs="Calibri"/>
                <w:color w:val="auto"/>
                <w:sz w:val="24"/>
              </w:rPr>
              <w:t>) show a recovery in breeding numbers of Roseate tern in</w:t>
            </w:r>
            <w:r w:rsidR="001537C0">
              <w:rPr>
                <w:rFonts w:cs="Calibri"/>
                <w:color w:val="auto"/>
                <w:sz w:val="24"/>
              </w:rPr>
              <w:t xml:space="preserve"> Region II and Region III </w:t>
            </w:r>
            <w:r w:rsidRPr="005F054B">
              <w:rPr>
                <w:rFonts w:cs="Calibri"/>
                <w:color w:val="auto"/>
                <w:sz w:val="24"/>
              </w:rPr>
              <w:t>since 2008 (</w:t>
            </w:r>
            <w:r w:rsidR="00A43FD3" w:rsidRPr="001537C0">
              <w:rPr>
                <w:rFonts w:cs="Calibri"/>
                <w:b/>
                <w:bCs/>
                <w:color w:val="auto"/>
                <w:sz w:val="24"/>
              </w:rPr>
              <w:t xml:space="preserve">Table </w:t>
            </w:r>
            <w:r w:rsidRPr="001537C0">
              <w:rPr>
                <w:rFonts w:cs="Calibri"/>
                <w:b/>
                <w:bCs/>
                <w:color w:val="auto"/>
                <w:sz w:val="24"/>
              </w:rPr>
              <w:t>1</w:t>
            </w:r>
            <w:r w:rsidRPr="005F054B">
              <w:rPr>
                <w:rFonts w:cs="Calibri"/>
                <w:color w:val="auto"/>
                <w:sz w:val="24"/>
              </w:rPr>
              <w:t xml:space="preserve">) although </w:t>
            </w:r>
            <w:proofErr w:type="gramStart"/>
            <w:r w:rsidRPr="005F054B">
              <w:rPr>
                <w:rFonts w:cs="Calibri"/>
                <w:color w:val="auto"/>
                <w:sz w:val="24"/>
              </w:rPr>
              <w:t>yet not</w:t>
            </w:r>
            <w:proofErr w:type="gramEnd"/>
            <w:r w:rsidRPr="005F054B">
              <w:rPr>
                <w:rFonts w:cs="Calibri"/>
                <w:color w:val="auto"/>
                <w:sz w:val="24"/>
              </w:rPr>
              <w:t xml:space="preserve"> enough to compensate the substantial declines since the baseline from 1960-1969, which had already been identified when this species was added to the T&amp;D list and is documented</w:t>
            </w:r>
            <w:r w:rsidR="00E60707">
              <w:rPr>
                <w:rFonts w:cs="Calibri"/>
                <w:color w:val="auto"/>
                <w:sz w:val="24"/>
              </w:rPr>
              <w:t xml:space="preserve"> in</w:t>
            </w:r>
            <w:r w:rsidRPr="005F054B">
              <w:rPr>
                <w:rFonts w:cs="Calibri"/>
                <w:color w:val="auto"/>
                <w:sz w:val="24"/>
              </w:rPr>
              <w:t xml:space="preserve"> the background document (OSPAR, 2009). Conversely, in the </w:t>
            </w:r>
            <w:hyperlink r:id="rId10" w:history="1">
              <w:r w:rsidRPr="00E60707">
                <w:rPr>
                  <w:rStyle w:val="Hyperlink"/>
                  <w:rFonts w:cs="Calibri"/>
                  <w:sz w:val="24"/>
                </w:rPr>
                <w:t>OSPAR Quality Status Report 2023</w:t>
              </w:r>
            </w:hyperlink>
            <w:r w:rsidRPr="005F054B">
              <w:rPr>
                <w:rFonts w:cs="Calibri"/>
                <w:color w:val="auto"/>
                <w:sz w:val="24"/>
              </w:rPr>
              <w:t xml:space="preserve"> (QSR 2023) the status of Roseate tern was assessed as good in </w:t>
            </w:r>
            <w:r w:rsidR="001537C0">
              <w:rPr>
                <w:rFonts w:cs="Calibri"/>
                <w:color w:val="auto"/>
                <w:sz w:val="24"/>
              </w:rPr>
              <w:t>Region II</w:t>
            </w:r>
            <w:r w:rsidRPr="005F054B">
              <w:rPr>
                <w:rFonts w:cs="Calibri"/>
                <w:color w:val="auto"/>
                <w:sz w:val="24"/>
              </w:rPr>
              <w:t xml:space="preserve"> by the marine bird abundance common indicator (OSPAR, 2023; Dierschke, 2022). Differences between the QSR 2023 assessment and the current one are most related with the period set as baseline (more details at the additional information of Assessment methods section). The French colony located in Ile aux Moutons (Brittany, Region IV) was recently </w:t>
            </w:r>
            <w:proofErr w:type="spellStart"/>
            <w:r w:rsidRPr="005F054B">
              <w:rPr>
                <w:rFonts w:cs="Calibri"/>
                <w:color w:val="auto"/>
                <w:sz w:val="24"/>
              </w:rPr>
              <w:t>recoloni</w:t>
            </w:r>
            <w:r w:rsidR="00E60707">
              <w:rPr>
                <w:rFonts w:cs="Calibri"/>
                <w:color w:val="auto"/>
                <w:sz w:val="24"/>
              </w:rPr>
              <w:t>s</w:t>
            </w:r>
            <w:r w:rsidRPr="005F054B">
              <w:rPr>
                <w:rFonts w:cs="Calibri"/>
                <w:color w:val="auto"/>
                <w:sz w:val="24"/>
              </w:rPr>
              <w:t>ed</w:t>
            </w:r>
            <w:proofErr w:type="spellEnd"/>
            <w:r w:rsidRPr="005F054B">
              <w:rPr>
                <w:rFonts w:cs="Calibri"/>
                <w:color w:val="auto"/>
                <w:sz w:val="24"/>
              </w:rPr>
              <w:t xml:space="preserve"> with a population of 30 to 49 breeding pairs (2015-2019; </w:t>
            </w:r>
            <w:r w:rsidR="00A43FD3" w:rsidRPr="001537C0">
              <w:rPr>
                <w:rFonts w:cs="Calibri"/>
                <w:b/>
                <w:bCs/>
                <w:color w:val="auto"/>
                <w:sz w:val="24"/>
              </w:rPr>
              <w:t>T</w:t>
            </w:r>
            <w:r w:rsidRPr="001537C0">
              <w:rPr>
                <w:rFonts w:cs="Calibri"/>
                <w:b/>
                <w:bCs/>
                <w:color w:val="auto"/>
                <w:sz w:val="24"/>
              </w:rPr>
              <w:t>able 1</w:t>
            </w:r>
            <w:r w:rsidRPr="005F054B">
              <w:rPr>
                <w:rFonts w:cs="Calibri"/>
                <w:color w:val="auto"/>
                <w:sz w:val="24"/>
              </w:rPr>
              <w:t xml:space="preserve">). In </w:t>
            </w:r>
            <w:r w:rsidR="00E60707">
              <w:rPr>
                <w:rFonts w:cs="Calibri"/>
                <w:color w:val="auto"/>
                <w:sz w:val="24"/>
              </w:rPr>
              <w:t>Region V</w:t>
            </w:r>
            <w:r w:rsidRPr="005F054B">
              <w:rPr>
                <w:rFonts w:cs="Calibri"/>
                <w:color w:val="auto"/>
                <w:sz w:val="24"/>
              </w:rPr>
              <w:t>, the population is showing great fluctuations in terms of abundance since the baseline from 1984-1993.</w:t>
            </w:r>
          </w:p>
          <w:p w14:paraId="2E463582" w14:textId="77777777" w:rsidR="001D5ED9" w:rsidRPr="005F054B" w:rsidRDefault="001D5ED9">
            <w:pPr>
              <w:tabs>
                <w:tab w:val="clear" w:pos="567"/>
              </w:tabs>
              <w:spacing w:after="0" w:line="240" w:lineRule="auto"/>
              <w:jc w:val="left"/>
              <w:rPr>
                <w:rFonts w:cs="Calibri"/>
                <w:i/>
                <w:color w:val="auto"/>
                <w:sz w:val="24"/>
              </w:rPr>
            </w:pPr>
          </w:p>
          <w:p w14:paraId="567F8DAD" w14:textId="77777777" w:rsidR="001D5ED9" w:rsidRPr="005F054B" w:rsidRDefault="001D5ED9">
            <w:pPr>
              <w:tabs>
                <w:tab w:val="clear" w:pos="567"/>
              </w:tabs>
              <w:spacing w:after="0" w:line="240" w:lineRule="auto"/>
              <w:jc w:val="left"/>
              <w:rPr>
                <w:rFonts w:cs="Calibri"/>
                <w:i/>
                <w:color w:val="auto"/>
                <w:sz w:val="20"/>
              </w:rPr>
            </w:pPr>
            <w:r w:rsidRPr="005F054B">
              <w:rPr>
                <w:rFonts w:cs="Calibri"/>
                <w:i/>
                <w:color w:val="auto"/>
                <w:sz w:val="20"/>
              </w:rPr>
              <w:t>Table 1: Number of breeding pairs and relative breeding abundance (a proportion of the baseline in 1960-1969 for the Greater North Sea, the Celtic Sear and the Bay of Biscay and Iberian Coast or 1984-1993 for Wider Atlantic, set at 1.0) of Roseate terns in each OSPAR Region. Trend between last assessment (2008) and current population size (2020 for Regions II, III and V, 2024 for Region IV) is also given for each region, as increasing (</w:t>
            </w:r>
            <w:r w:rsidRPr="005F054B">
              <w:rPr>
                <w:rFonts w:cs="Calibri"/>
                <w:b/>
                <w:bCs/>
                <w:color w:val="auto"/>
                <w:sz w:val="20"/>
              </w:rPr>
              <w:t>↑)</w:t>
            </w:r>
            <w:r w:rsidRPr="005F054B">
              <w:rPr>
                <w:rFonts w:cs="Calibri"/>
                <w:i/>
                <w:color w:val="auto"/>
                <w:sz w:val="20"/>
              </w:rPr>
              <w:t xml:space="preserve"> or stable (</w:t>
            </w:r>
            <w:r w:rsidRPr="005F054B">
              <w:rPr>
                <w:rFonts w:cs="Calibri"/>
                <w:b/>
                <w:bCs/>
                <w:color w:val="auto"/>
                <w:sz w:val="20"/>
              </w:rPr>
              <w:t>←→)</w:t>
            </w:r>
            <w:r w:rsidRPr="005F054B">
              <w:rPr>
                <w:rFonts w:cs="Calibri"/>
                <w:i/>
                <w:color w:val="auto"/>
                <w:sz w:val="20"/>
              </w:rPr>
              <w:t>.</w:t>
            </w:r>
          </w:p>
          <w:tbl>
            <w:tblPr>
              <w:tblW w:w="6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46"/>
              <w:gridCol w:w="850"/>
              <w:gridCol w:w="1134"/>
              <w:gridCol w:w="851"/>
              <w:gridCol w:w="1134"/>
              <w:gridCol w:w="992"/>
            </w:tblGrid>
            <w:tr w:rsidR="001D5ED9" w:rsidRPr="005F054B" w14:paraId="480F030D" w14:textId="77777777">
              <w:tc>
                <w:tcPr>
                  <w:tcW w:w="836" w:type="dxa"/>
                  <w:vMerge w:val="restart"/>
                  <w:vAlign w:val="bottom"/>
                </w:tcPr>
                <w:p w14:paraId="766B0155"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OSPAR Region</w:t>
                  </w:r>
                </w:p>
              </w:tc>
              <w:tc>
                <w:tcPr>
                  <w:tcW w:w="846" w:type="dxa"/>
                </w:tcPr>
                <w:p w14:paraId="021F11C5"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Baseline</w:t>
                  </w:r>
                </w:p>
              </w:tc>
              <w:tc>
                <w:tcPr>
                  <w:tcW w:w="1984" w:type="dxa"/>
                  <w:gridSpan w:val="2"/>
                  <w:vAlign w:val="bottom"/>
                </w:tcPr>
                <w:p w14:paraId="7CF957A7"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2008</w:t>
                  </w:r>
                </w:p>
              </w:tc>
              <w:tc>
                <w:tcPr>
                  <w:tcW w:w="1985" w:type="dxa"/>
                  <w:gridSpan w:val="2"/>
                  <w:vAlign w:val="bottom"/>
                </w:tcPr>
                <w:p w14:paraId="04A49E81"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2022 or 2024</w:t>
                  </w:r>
                </w:p>
              </w:tc>
              <w:tc>
                <w:tcPr>
                  <w:tcW w:w="992" w:type="dxa"/>
                </w:tcPr>
                <w:p w14:paraId="3A617695" w14:textId="77777777" w:rsidR="001D5ED9" w:rsidRPr="005F054B" w:rsidRDefault="001D5ED9">
                  <w:pPr>
                    <w:tabs>
                      <w:tab w:val="clear" w:pos="567"/>
                    </w:tabs>
                    <w:spacing w:after="160" w:line="259" w:lineRule="auto"/>
                    <w:ind w:right="-106"/>
                    <w:jc w:val="left"/>
                    <w:rPr>
                      <w:rFonts w:eastAsia="MS Mincho"/>
                      <w:color w:val="auto"/>
                      <w:sz w:val="18"/>
                      <w:szCs w:val="18"/>
                    </w:rPr>
                  </w:pPr>
                  <w:r w:rsidRPr="005F054B">
                    <w:rPr>
                      <w:rFonts w:eastAsia="MS Mincho"/>
                      <w:color w:val="auto"/>
                      <w:sz w:val="18"/>
                      <w:szCs w:val="18"/>
                    </w:rPr>
                    <w:t>Trend</w:t>
                  </w:r>
                </w:p>
              </w:tc>
            </w:tr>
            <w:tr w:rsidR="001D5ED9" w:rsidRPr="005F054B" w14:paraId="73C196F0" w14:textId="77777777">
              <w:tc>
                <w:tcPr>
                  <w:tcW w:w="836" w:type="dxa"/>
                  <w:vMerge/>
                  <w:vAlign w:val="bottom"/>
                </w:tcPr>
                <w:p w14:paraId="02F4EA29" w14:textId="77777777" w:rsidR="001D5ED9" w:rsidRPr="005F054B" w:rsidRDefault="001D5ED9">
                  <w:pPr>
                    <w:tabs>
                      <w:tab w:val="clear" w:pos="567"/>
                    </w:tabs>
                    <w:spacing w:after="160" w:line="259" w:lineRule="auto"/>
                    <w:jc w:val="left"/>
                    <w:rPr>
                      <w:rFonts w:eastAsia="MS Mincho"/>
                      <w:color w:val="auto"/>
                      <w:sz w:val="18"/>
                      <w:szCs w:val="18"/>
                    </w:rPr>
                  </w:pPr>
                </w:p>
              </w:tc>
              <w:tc>
                <w:tcPr>
                  <w:tcW w:w="846" w:type="dxa"/>
                </w:tcPr>
                <w:p w14:paraId="08C7D19B"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No. pairs</w:t>
                  </w:r>
                </w:p>
              </w:tc>
              <w:tc>
                <w:tcPr>
                  <w:tcW w:w="850" w:type="dxa"/>
                </w:tcPr>
                <w:p w14:paraId="74C0EF50"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No. pairs</w:t>
                  </w:r>
                </w:p>
              </w:tc>
              <w:tc>
                <w:tcPr>
                  <w:tcW w:w="1134" w:type="dxa"/>
                </w:tcPr>
                <w:p w14:paraId="28A9D640"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Relative abundance</w:t>
                  </w:r>
                </w:p>
              </w:tc>
              <w:tc>
                <w:tcPr>
                  <w:tcW w:w="851" w:type="dxa"/>
                </w:tcPr>
                <w:p w14:paraId="168D2C18"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No. pairs</w:t>
                  </w:r>
                </w:p>
              </w:tc>
              <w:tc>
                <w:tcPr>
                  <w:tcW w:w="1134" w:type="dxa"/>
                </w:tcPr>
                <w:p w14:paraId="40E15C33"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Relative abundance</w:t>
                  </w:r>
                </w:p>
              </w:tc>
              <w:tc>
                <w:tcPr>
                  <w:tcW w:w="992" w:type="dxa"/>
                </w:tcPr>
                <w:p w14:paraId="209AF54F"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2008 - 2020</w:t>
                  </w:r>
                </w:p>
              </w:tc>
            </w:tr>
            <w:tr w:rsidR="001D5ED9" w:rsidRPr="005F054B" w14:paraId="5725A0E0" w14:textId="77777777">
              <w:tc>
                <w:tcPr>
                  <w:tcW w:w="836" w:type="dxa"/>
                </w:tcPr>
                <w:p w14:paraId="64C85AB7"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II</w:t>
                  </w:r>
                </w:p>
              </w:tc>
              <w:tc>
                <w:tcPr>
                  <w:tcW w:w="846" w:type="dxa"/>
                </w:tcPr>
                <w:p w14:paraId="754CFD1D" w14:textId="77777777" w:rsidR="001D5ED9" w:rsidRPr="005F054B" w:rsidRDefault="001D5ED9">
                  <w:pPr>
                    <w:tabs>
                      <w:tab w:val="clear" w:pos="567"/>
                    </w:tabs>
                    <w:spacing w:after="160" w:line="259" w:lineRule="auto"/>
                    <w:jc w:val="left"/>
                    <w:rPr>
                      <w:rFonts w:eastAsia="Calibri"/>
                      <w:color w:val="auto"/>
                      <w:sz w:val="18"/>
                      <w:szCs w:val="18"/>
                    </w:rPr>
                  </w:pPr>
                  <w:r w:rsidRPr="005F054B">
                    <w:rPr>
                      <w:rFonts w:eastAsia="Calibri"/>
                      <w:color w:val="auto"/>
                      <w:sz w:val="18"/>
                      <w:szCs w:val="18"/>
                    </w:rPr>
                    <w:t>226 – 604</w:t>
                  </w:r>
                </w:p>
              </w:tc>
              <w:tc>
                <w:tcPr>
                  <w:tcW w:w="850" w:type="dxa"/>
                </w:tcPr>
                <w:p w14:paraId="25972B30" w14:textId="77777777" w:rsidR="001D5ED9" w:rsidRPr="005F054B" w:rsidRDefault="001D5ED9">
                  <w:pPr>
                    <w:tabs>
                      <w:tab w:val="clear" w:pos="567"/>
                    </w:tabs>
                    <w:spacing w:after="160" w:line="259" w:lineRule="auto"/>
                    <w:jc w:val="left"/>
                    <w:rPr>
                      <w:rFonts w:eastAsia="Calibri"/>
                      <w:color w:val="auto"/>
                      <w:sz w:val="18"/>
                      <w:szCs w:val="18"/>
                    </w:rPr>
                  </w:pPr>
                  <w:r w:rsidRPr="005F054B">
                    <w:rPr>
                      <w:rFonts w:eastAsia="Calibri"/>
                      <w:color w:val="auto"/>
                      <w:sz w:val="18"/>
                      <w:szCs w:val="18"/>
                    </w:rPr>
                    <w:t>72 – 99</w:t>
                  </w:r>
                </w:p>
              </w:tc>
              <w:tc>
                <w:tcPr>
                  <w:tcW w:w="1134" w:type="dxa"/>
                </w:tcPr>
                <w:p w14:paraId="33608869"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0.21</w:t>
                  </w:r>
                </w:p>
              </w:tc>
              <w:tc>
                <w:tcPr>
                  <w:tcW w:w="851" w:type="dxa"/>
                </w:tcPr>
                <w:p w14:paraId="195DF1EC"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178 - 181</w:t>
                  </w:r>
                </w:p>
              </w:tc>
              <w:tc>
                <w:tcPr>
                  <w:tcW w:w="1134" w:type="dxa"/>
                </w:tcPr>
                <w:p w14:paraId="4416B30A"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0.30</w:t>
                  </w:r>
                </w:p>
              </w:tc>
              <w:tc>
                <w:tcPr>
                  <w:tcW w:w="992" w:type="dxa"/>
                </w:tcPr>
                <w:p w14:paraId="35DF6B56"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Calibri" w:cs="Calibri"/>
                      <w:b/>
                      <w:bCs/>
                      <w:color w:val="auto"/>
                      <w:sz w:val="18"/>
                      <w:szCs w:val="18"/>
                    </w:rPr>
                    <w:t>↑</w:t>
                  </w:r>
                </w:p>
              </w:tc>
            </w:tr>
            <w:tr w:rsidR="001D5ED9" w:rsidRPr="005F054B" w14:paraId="5DEA18B1" w14:textId="77777777">
              <w:tc>
                <w:tcPr>
                  <w:tcW w:w="836" w:type="dxa"/>
                </w:tcPr>
                <w:p w14:paraId="59999B06"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III</w:t>
                  </w:r>
                </w:p>
              </w:tc>
              <w:tc>
                <w:tcPr>
                  <w:tcW w:w="846" w:type="dxa"/>
                </w:tcPr>
                <w:p w14:paraId="74DD135D" w14:textId="77777777" w:rsidR="001D5ED9" w:rsidRPr="005F054B" w:rsidRDefault="001D5ED9">
                  <w:pPr>
                    <w:tabs>
                      <w:tab w:val="clear" w:pos="567"/>
                    </w:tabs>
                    <w:spacing w:after="160" w:line="259" w:lineRule="auto"/>
                    <w:jc w:val="left"/>
                    <w:rPr>
                      <w:rFonts w:eastAsia="Calibri"/>
                      <w:color w:val="auto"/>
                      <w:sz w:val="18"/>
                      <w:szCs w:val="18"/>
                    </w:rPr>
                  </w:pPr>
                  <w:r w:rsidRPr="005F054B">
                    <w:rPr>
                      <w:rFonts w:eastAsia="Calibri"/>
                      <w:color w:val="auto"/>
                      <w:sz w:val="18"/>
                      <w:szCs w:val="18"/>
                    </w:rPr>
                    <w:t>2736 – 3959</w:t>
                  </w:r>
                </w:p>
              </w:tc>
              <w:tc>
                <w:tcPr>
                  <w:tcW w:w="850" w:type="dxa"/>
                </w:tcPr>
                <w:p w14:paraId="603CBCFC" w14:textId="77777777" w:rsidR="001D5ED9" w:rsidRPr="005F054B" w:rsidRDefault="001D5ED9">
                  <w:pPr>
                    <w:tabs>
                      <w:tab w:val="clear" w:pos="567"/>
                    </w:tabs>
                    <w:spacing w:after="160" w:line="259" w:lineRule="auto"/>
                    <w:jc w:val="left"/>
                    <w:rPr>
                      <w:rFonts w:eastAsia="Calibri"/>
                      <w:color w:val="auto"/>
                      <w:sz w:val="18"/>
                      <w:szCs w:val="18"/>
                    </w:rPr>
                  </w:pPr>
                  <w:r w:rsidRPr="005F054B">
                    <w:rPr>
                      <w:rFonts w:eastAsia="Calibri"/>
                      <w:color w:val="auto"/>
                      <w:sz w:val="18"/>
                      <w:szCs w:val="18"/>
                    </w:rPr>
                    <w:t>67 – 1787</w:t>
                  </w:r>
                </w:p>
              </w:tc>
              <w:tc>
                <w:tcPr>
                  <w:tcW w:w="1134" w:type="dxa"/>
                </w:tcPr>
                <w:p w14:paraId="152B0676"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0.27</w:t>
                  </w:r>
                </w:p>
              </w:tc>
              <w:tc>
                <w:tcPr>
                  <w:tcW w:w="851" w:type="dxa"/>
                  <w:vAlign w:val="bottom"/>
                </w:tcPr>
                <w:p w14:paraId="2EA39A76"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2157</w:t>
                  </w:r>
                </w:p>
              </w:tc>
              <w:tc>
                <w:tcPr>
                  <w:tcW w:w="1134" w:type="dxa"/>
                </w:tcPr>
                <w:p w14:paraId="5569602E"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0.55</w:t>
                  </w:r>
                </w:p>
              </w:tc>
              <w:tc>
                <w:tcPr>
                  <w:tcW w:w="992" w:type="dxa"/>
                </w:tcPr>
                <w:p w14:paraId="469BB135"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Calibri" w:cs="Calibri"/>
                      <w:b/>
                      <w:bCs/>
                      <w:color w:val="auto"/>
                      <w:sz w:val="18"/>
                      <w:szCs w:val="18"/>
                    </w:rPr>
                    <w:t>↑</w:t>
                  </w:r>
                </w:p>
              </w:tc>
            </w:tr>
            <w:tr w:rsidR="001D5ED9" w:rsidRPr="005F054B" w14:paraId="586583FA" w14:textId="77777777">
              <w:tc>
                <w:tcPr>
                  <w:tcW w:w="836" w:type="dxa"/>
                </w:tcPr>
                <w:p w14:paraId="78C2215A"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IV</w:t>
                  </w:r>
                </w:p>
              </w:tc>
              <w:tc>
                <w:tcPr>
                  <w:tcW w:w="846" w:type="dxa"/>
                </w:tcPr>
                <w:p w14:paraId="4A867ED8" w14:textId="77777777" w:rsidR="001D5ED9" w:rsidRPr="005F054B" w:rsidRDefault="001D5ED9">
                  <w:pPr>
                    <w:tabs>
                      <w:tab w:val="clear" w:pos="567"/>
                    </w:tabs>
                    <w:spacing w:after="160" w:line="259" w:lineRule="auto"/>
                    <w:jc w:val="left"/>
                    <w:rPr>
                      <w:rFonts w:eastAsia="Calibri"/>
                      <w:color w:val="auto"/>
                      <w:sz w:val="18"/>
                      <w:szCs w:val="18"/>
                    </w:rPr>
                  </w:pPr>
                  <w:r w:rsidRPr="005F054B">
                    <w:rPr>
                      <w:rFonts w:eastAsia="Calibri"/>
                      <w:color w:val="auto"/>
                      <w:sz w:val="18"/>
                      <w:szCs w:val="18"/>
                    </w:rPr>
                    <w:t>10 - 70</w:t>
                  </w:r>
                </w:p>
              </w:tc>
              <w:tc>
                <w:tcPr>
                  <w:tcW w:w="850" w:type="dxa"/>
                </w:tcPr>
                <w:p w14:paraId="24BCF5C5" w14:textId="77777777" w:rsidR="001D5ED9" w:rsidRPr="005F054B" w:rsidRDefault="001D5ED9">
                  <w:pPr>
                    <w:tabs>
                      <w:tab w:val="clear" w:pos="567"/>
                    </w:tabs>
                    <w:spacing w:after="160" w:line="259" w:lineRule="auto"/>
                    <w:jc w:val="left"/>
                    <w:rPr>
                      <w:rFonts w:eastAsia="Calibri"/>
                      <w:color w:val="auto"/>
                      <w:sz w:val="18"/>
                      <w:szCs w:val="18"/>
                    </w:rPr>
                  </w:pPr>
                  <w:r w:rsidRPr="005F054B">
                    <w:rPr>
                      <w:rFonts w:eastAsia="Calibri"/>
                      <w:color w:val="auto"/>
                      <w:sz w:val="18"/>
                      <w:szCs w:val="18"/>
                    </w:rPr>
                    <w:t>0 – 0</w:t>
                  </w:r>
                </w:p>
              </w:tc>
              <w:tc>
                <w:tcPr>
                  <w:tcW w:w="1134" w:type="dxa"/>
                </w:tcPr>
                <w:p w14:paraId="002D3D1E" w14:textId="77777777" w:rsidR="001D5ED9" w:rsidRPr="005F054B" w:rsidRDefault="001D5ED9">
                  <w:pPr>
                    <w:tabs>
                      <w:tab w:val="clear" w:pos="567"/>
                    </w:tabs>
                    <w:spacing w:after="160" w:line="259" w:lineRule="auto"/>
                    <w:jc w:val="left"/>
                    <w:rPr>
                      <w:rFonts w:eastAsia="MS Mincho"/>
                      <w:color w:val="auto"/>
                      <w:sz w:val="18"/>
                      <w:szCs w:val="18"/>
                    </w:rPr>
                  </w:pPr>
                </w:p>
              </w:tc>
              <w:tc>
                <w:tcPr>
                  <w:tcW w:w="851" w:type="dxa"/>
                </w:tcPr>
                <w:p w14:paraId="628E645D"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–17 - 20</w:t>
                  </w:r>
                </w:p>
              </w:tc>
              <w:tc>
                <w:tcPr>
                  <w:tcW w:w="1134" w:type="dxa"/>
                </w:tcPr>
                <w:p w14:paraId="0BAD3408" w14:textId="77777777" w:rsidR="001D5ED9" w:rsidRPr="005F054B" w:rsidRDefault="001D5ED9">
                  <w:pPr>
                    <w:tabs>
                      <w:tab w:val="clear" w:pos="567"/>
                    </w:tabs>
                    <w:spacing w:after="160" w:line="259" w:lineRule="auto"/>
                    <w:jc w:val="left"/>
                    <w:rPr>
                      <w:rFonts w:eastAsia="MS Mincho"/>
                      <w:color w:val="auto"/>
                      <w:sz w:val="18"/>
                      <w:szCs w:val="18"/>
                    </w:rPr>
                  </w:pPr>
                </w:p>
              </w:tc>
              <w:tc>
                <w:tcPr>
                  <w:tcW w:w="992" w:type="dxa"/>
                </w:tcPr>
                <w:p w14:paraId="0EB1DC85" w14:textId="77777777" w:rsidR="001D5ED9" w:rsidRPr="005F054B" w:rsidRDefault="001D5ED9">
                  <w:pPr>
                    <w:tabs>
                      <w:tab w:val="clear" w:pos="567"/>
                    </w:tabs>
                    <w:spacing w:after="160" w:line="259" w:lineRule="auto"/>
                    <w:jc w:val="left"/>
                    <w:rPr>
                      <w:rFonts w:eastAsia="Calibri" w:cs="Calibri"/>
                      <w:b/>
                      <w:bCs/>
                      <w:color w:val="auto"/>
                      <w:sz w:val="18"/>
                      <w:szCs w:val="18"/>
                    </w:rPr>
                  </w:pPr>
                  <w:r w:rsidRPr="005F054B">
                    <w:rPr>
                      <w:rFonts w:eastAsia="Calibri" w:cs="Calibri"/>
                      <w:b/>
                      <w:bCs/>
                      <w:color w:val="auto"/>
                      <w:sz w:val="18"/>
                      <w:szCs w:val="18"/>
                    </w:rPr>
                    <w:t>↑</w:t>
                  </w:r>
                </w:p>
              </w:tc>
            </w:tr>
            <w:tr w:rsidR="001D5ED9" w:rsidRPr="005F054B" w14:paraId="1E95A194" w14:textId="77777777">
              <w:tc>
                <w:tcPr>
                  <w:tcW w:w="836" w:type="dxa"/>
                </w:tcPr>
                <w:p w14:paraId="4984E75C"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V</w:t>
                  </w:r>
                </w:p>
              </w:tc>
              <w:tc>
                <w:tcPr>
                  <w:tcW w:w="846" w:type="dxa"/>
                </w:tcPr>
                <w:p w14:paraId="0AAC9096"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379 – 1188</w:t>
                  </w:r>
                </w:p>
              </w:tc>
              <w:tc>
                <w:tcPr>
                  <w:tcW w:w="850" w:type="dxa"/>
                </w:tcPr>
                <w:p w14:paraId="19338E01"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308 – 1100</w:t>
                  </w:r>
                </w:p>
              </w:tc>
              <w:tc>
                <w:tcPr>
                  <w:tcW w:w="1134" w:type="dxa"/>
                </w:tcPr>
                <w:p w14:paraId="69DB8916"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0.94</w:t>
                  </w:r>
                </w:p>
              </w:tc>
              <w:tc>
                <w:tcPr>
                  <w:tcW w:w="851" w:type="dxa"/>
                  <w:vAlign w:val="bottom"/>
                </w:tcPr>
                <w:p w14:paraId="26271132"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538 - 1068</w:t>
                  </w:r>
                </w:p>
              </w:tc>
              <w:tc>
                <w:tcPr>
                  <w:tcW w:w="1134" w:type="dxa"/>
                </w:tcPr>
                <w:p w14:paraId="43CB7CD6"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MS Mincho"/>
                      <w:color w:val="auto"/>
                      <w:sz w:val="18"/>
                      <w:szCs w:val="18"/>
                    </w:rPr>
                    <w:t>0.92</w:t>
                  </w:r>
                </w:p>
              </w:tc>
              <w:tc>
                <w:tcPr>
                  <w:tcW w:w="992" w:type="dxa"/>
                </w:tcPr>
                <w:p w14:paraId="7080F721" w14:textId="77777777" w:rsidR="001D5ED9" w:rsidRPr="005F054B" w:rsidRDefault="001D5ED9">
                  <w:pPr>
                    <w:tabs>
                      <w:tab w:val="clear" w:pos="567"/>
                    </w:tabs>
                    <w:spacing w:after="160" w:line="259" w:lineRule="auto"/>
                    <w:jc w:val="left"/>
                    <w:rPr>
                      <w:rFonts w:eastAsia="MS Mincho"/>
                      <w:color w:val="auto"/>
                      <w:sz w:val="18"/>
                      <w:szCs w:val="18"/>
                    </w:rPr>
                  </w:pPr>
                  <w:r w:rsidRPr="005F054B">
                    <w:rPr>
                      <w:rFonts w:eastAsia="Calibri" w:cs="Calibri"/>
                      <w:b/>
                      <w:bCs/>
                      <w:color w:val="auto"/>
                      <w:sz w:val="18"/>
                      <w:szCs w:val="18"/>
                    </w:rPr>
                    <w:t>←→</w:t>
                  </w:r>
                </w:p>
              </w:tc>
            </w:tr>
          </w:tbl>
          <w:p w14:paraId="6D647684" w14:textId="77777777" w:rsidR="001D5ED9" w:rsidRPr="005F054B" w:rsidRDefault="001D5ED9">
            <w:pPr>
              <w:tabs>
                <w:tab w:val="clear" w:pos="567"/>
              </w:tabs>
              <w:spacing w:after="0" w:line="240" w:lineRule="auto"/>
              <w:jc w:val="left"/>
              <w:rPr>
                <w:color w:val="auto"/>
                <w:sz w:val="24"/>
              </w:rPr>
            </w:pPr>
          </w:p>
          <w:p w14:paraId="4223984B" w14:textId="77777777" w:rsidR="001D5ED9" w:rsidRPr="005F054B" w:rsidRDefault="001D5ED9">
            <w:pPr>
              <w:tabs>
                <w:tab w:val="clear" w:pos="567"/>
              </w:tabs>
              <w:spacing w:after="0" w:line="240" w:lineRule="auto"/>
              <w:jc w:val="left"/>
              <w:rPr>
                <w:color w:val="auto"/>
                <w:sz w:val="24"/>
              </w:rPr>
            </w:pPr>
          </w:p>
          <w:p w14:paraId="6A965647" w14:textId="77777777" w:rsidR="001D5ED9" w:rsidRPr="005F054B" w:rsidRDefault="001D5ED9">
            <w:pPr>
              <w:numPr>
                <w:ilvl w:val="0"/>
                <w:numId w:val="34"/>
              </w:numPr>
              <w:tabs>
                <w:tab w:val="clear" w:pos="567"/>
              </w:tabs>
              <w:spacing w:after="140" w:line="280" w:lineRule="atLeast"/>
              <w:jc w:val="left"/>
              <w:rPr>
                <w:color w:val="auto"/>
                <w:sz w:val="24"/>
              </w:rPr>
            </w:pPr>
            <w:r w:rsidRPr="005F054B">
              <w:rPr>
                <w:color w:val="auto"/>
                <w:sz w:val="24"/>
              </w:rPr>
              <w:t>Greater North Sea</w:t>
            </w:r>
          </w:p>
          <w:p w14:paraId="2478C440" w14:textId="77777777" w:rsidR="001D5ED9" w:rsidRPr="005F054B" w:rsidRDefault="001D5ED9">
            <w:pPr>
              <w:tabs>
                <w:tab w:val="clear" w:pos="567"/>
              </w:tabs>
              <w:spacing w:after="0" w:line="240" w:lineRule="auto"/>
              <w:jc w:val="left"/>
              <w:rPr>
                <w:color w:val="auto"/>
                <w:sz w:val="24"/>
              </w:rPr>
            </w:pPr>
            <w:r w:rsidRPr="005F054B">
              <w:rPr>
                <w:noProof/>
                <w:color w:val="auto"/>
                <w:sz w:val="24"/>
                <w:lang w:val="pt-PT" w:eastAsia="pt-PT"/>
                <w14:ligatures w14:val="standardContextual"/>
              </w:rPr>
              <w:lastRenderedPageBreak/>
              <w:drawing>
                <wp:inline distT="0" distB="0" distL="0" distR="0" wp14:anchorId="48E5A7EE" wp14:editId="2D6839F1">
                  <wp:extent cx="3600000" cy="3600000"/>
                  <wp:effectExtent l="0" t="0" r="635" b="635"/>
                  <wp:docPr id="9" name="Imagem 9" descr="A graph showing the growth of the number of peo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9" descr="A graph showing the growth of the number of peopl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00000" cy="3600000"/>
                          </a:xfrm>
                          <a:prstGeom prst="rect">
                            <a:avLst/>
                          </a:prstGeom>
                        </pic:spPr>
                      </pic:pic>
                    </a:graphicData>
                  </a:graphic>
                </wp:inline>
              </w:drawing>
            </w:r>
          </w:p>
          <w:p w14:paraId="480D98A7" w14:textId="77777777" w:rsidR="001D5ED9" w:rsidRPr="005F054B" w:rsidRDefault="001D5ED9">
            <w:pPr>
              <w:numPr>
                <w:ilvl w:val="0"/>
                <w:numId w:val="34"/>
              </w:numPr>
              <w:tabs>
                <w:tab w:val="clear" w:pos="567"/>
              </w:tabs>
              <w:spacing w:after="140" w:line="280" w:lineRule="atLeast"/>
              <w:jc w:val="left"/>
              <w:rPr>
                <w:color w:val="auto"/>
                <w:sz w:val="24"/>
              </w:rPr>
            </w:pPr>
            <w:r w:rsidRPr="005F054B">
              <w:rPr>
                <w:color w:val="auto"/>
                <w:sz w:val="24"/>
              </w:rPr>
              <w:t>Celtic Seas</w:t>
            </w:r>
          </w:p>
          <w:p w14:paraId="4CA60A7F" w14:textId="77777777" w:rsidR="001D5ED9" w:rsidRPr="005F054B" w:rsidRDefault="001D5ED9">
            <w:pPr>
              <w:tabs>
                <w:tab w:val="clear" w:pos="567"/>
              </w:tabs>
              <w:spacing w:after="0" w:line="240" w:lineRule="auto"/>
              <w:jc w:val="left"/>
              <w:rPr>
                <w:color w:val="auto"/>
                <w:sz w:val="24"/>
              </w:rPr>
            </w:pPr>
          </w:p>
          <w:p w14:paraId="18ED7D16" w14:textId="77777777" w:rsidR="001D5ED9" w:rsidRPr="005F054B" w:rsidRDefault="001D5ED9">
            <w:pPr>
              <w:tabs>
                <w:tab w:val="clear" w:pos="567"/>
              </w:tabs>
              <w:spacing w:after="0" w:line="240" w:lineRule="auto"/>
              <w:jc w:val="left"/>
              <w:rPr>
                <w:color w:val="auto"/>
                <w:sz w:val="24"/>
              </w:rPr>
            </w:pPr>
            <w:r w:rsidRPr="005F054B">
              <w:rPr>
                <w:noProof/>
                <w:color w:val="auto"/>
                <w:sz w:val="24"/>
                <w:lang w:val="pt-PT" w:eastAsia="pt-PT"/>
                <w14:ligatures w14:val="standardContextual"/>
              </w:rPr>
              <w:drawing>
                <wp:inline distT="0" distB="0" distL="0" distR="0" wp14:anchorId="12839C49" wp14:editId="5E0F45CE">
                  <wp:extent cx="3600000" cy="3600000"/>
                  <wp:effectExtent l="0" t="0" r="635" b="635"/>
                  <wp:docPr id="10" name="Imagem 10" descr="A graph showing the growth of an abundance inde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0" descr="A graph showing the growth of an abundance index&#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00000" cy="3600000"/>
                          </a:xfrm>
                          <a:prstGeom prst="rect">
                            <a:avLst/>
                          </a:prstGeom>
                        </pic:spPr>
                      </pic:pic>
                    </a:graphicData>
                  </a:graphic>
                </wp:inline>
              </w:drawing>
            </w:r>
          </w:p>
          <w:p w14:paraId="69E46B63" w14:textId="77777777" w:rsidR="001D5ED9" w:rsidRPr="005F054B" w:rsidRDefault="001D5ED9">
            <w:pPr>
              <w:tabs>
                <w:tab w:val="clear" w:pos="567"/>
              </w:tabs>
              <w:spacing w:after="0" w:line="240" w:lineRule="auto"/>
              <w:jc w:val="left"/>
              <w:rPr>
                <w:color w:val="auto"/>
                <w:sz w:val="24"/>
              </w:rPr>
            </w:pPr>
          </w:p>
          <w:p w14:paraId="7AF8B038" w14:textId="77777777" w:rsidR="001D5ED9" w:rsidRPr="005F054B" w:rsidRDefault="001D5ED9">
            <w:pPr>
              <w:tabs>
                <w:tab w:val="clear" w:pos="567"/>
              </w:tabs>
              <w:spacing w:after="0" w:line="240" w:lineRule="auto"/>
              <w:jc w:val="left"/>
              <w:rPr>
                <w:color w:val="auto"/>
                <w:sz w:val="24"/>
              </w:rPr>
            </w:pPr>
          </w:p>
          <w:p w14:paraId="318D4CD4" w14:textId="77777777" w:rsidR="001D5ED9" w:rsidRPr="005F054B" w:rsidRDefault="001D5ED9">
            <w:pPr>
              <w:numPr>
                <w:ilvl w:val="0"/>
                <w:numId w:val="34"/>
              </w:numPr>
              <w:tabs>
                <w:tab w:val="clear" w:pos="567"/>
              </w:tabs>
              <w:spacing w:after="140" w:line="280" w:lineRule="atLeast"/>
              <w:jc w:val="left"/>
              <w:rPr>
                <w:color w:val="auto"/>
                <w:sz w:val="24"/>
              </w:rPr>
            </w:pPr>
            <w:r w:rsidRPr="005F054B">
              <w:rPr>
                <w:color w:val="auto"/>
                <w:sz w:val="24"/>
              </w:rPr>
              <w:t>Wider Atlantic</w:t>
            </w:r>
          </w:p>
          <w:p w14:paraId="14C93DDB" w14:textId="77777777" w:rsidR="001D5ED9" w:rsidRPr="005F054B" w:rsidRDefault="001D5ED9">
            <w:pPr>
              <w:tabs>
                <w:tab w:val="clear" w:pos="567"/>
              </w:tabs>
              <w:spacing w:after="0" w:line="240" w:lineRule="auto"/>
              <w:ind w:left="360"/>
              <w:jc w:val="left"/>
              <w:rPr>
                <w:color w:val="auto"/>
                <w:sz w:val="24"/>
              </w:rPr>
            </w:pPr>
            <w:r w:rsidRPr="005F054B">
              <w:rPr>
                <w:noProof/>
                <w:color w:val="auto"/>
                <w:sz w:val="24"/>
                <w:lang w:val="pt-PT" w:eastAsia="pt-PT"/>
                <w14:ligatures w14:val="standardContextual"/>
              </w:rPr>
              <w:lastRenderedPageBreak/>
              <w:drawing>
                <wp:inline distT="0" distB="0" distL="0" distR="0" wp14:anchorId="0AF5CCE7" wp14:editId="12C25DF6">
                  <wp:extent cx="3600000" cy="3600000"/>
                  <wp:effectExtent l="0" t="0" r="635" b="635"/>
                  <wp:docPr id="11" name="Imagem 11" descr="A graph showing the growth of abund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descr="A graph showing the growth of abundanc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00000" cy="3600000"/>
                          </a:xfrm>
                          <a:prstGeom prst="rect">
                            <a:avLst/>
                          </a:prstGeom>
                        </pic:spPr>
                      </pic:pic>
                    </a:graphicData>
                  </a:graphic>
                </wp:inline>
              </w:drawing>
            </w:r>
          </w:p>
          <w:p w14:paraId="0756B010" w14:textId="77777777" w:rsidR="001D5ED9" w:rsidRPr="005F054B" w:rsidRDefault="001D5ED9">
            <w:pPr>
              <w:tabs>
                <w:tab w:val="clear" w:pos="567"/>
              </w:tabs>
              <w:spacing w:line="240" w:lineRule="auto"/>
              <w:rPr>
                <w:rFonts w:cs="Calibri"/>
                <w:i/>
                <w:color w:val="auto"/>
                <w:sz w:val="20"/>
              </w:rPr>
            </w:pPr>
            <w:r w:rsidRPr="005F054B">
              <w:rPr>
                <w:rFonts w:cs="Calibri"/>
                <w:i/>
                <w:color w:val="auto"/>
                <w:sz w:val="20"/>
              </w:rPr>
              <w:t>Figure 2: Trends in relative breeding abundance of Roseate tern in each of OSPAR Regions II and III during the period 1960-2020, and Region V, during the period 1984–2019</w:t>
            </w:r>
            <w:r w:rsidRPr="005F054B">
              <w:rPr>
                <w:rFonts w:cs="Calibri"/>
                <w:b/>
                <w:i/>
                <w:color w:val="auto"/>
                <w:sz w:val="20"/>
              </w:rPr>
              <w:t xml:space="preserve">. </w:t>
            </w:r>
            <w:r w:rsidRPr="005F054B">
              <w:rPr>
                <w:rFonts w:cs="Calibri"/>
                <w:i/>
                <w:color w:val="auto"/>
                <w:sz w:val="20"/>
              </w:rPr>
              <w:t>The baseline is where relative abundance = 1.0. The red dotted line indicates the lower assessment value of 0.7; the black dashed line indicates the upper assessment value of 1.3.</w:t>
            </w:r>
          </w:p>
          <w:p w14:paraId="23ACFD74"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Method of assessment: 3a – sources: Cabot (1996), JNCC (2021), MacLeod-Nolan (2023), Mitchell et al. (2000), OSPAR (2009), Piec (2021), Piec &amp; Dunn (2021),  Quemmerais-Amice (2011).</w:t>
            </w:r>
          </w:p>
        </w:tc>
      </w:tr>
      <w:tr w:rsidR="001D5ED9" w:rsidRPr="005F054B" w14:paraId="6559059D" w14:textId="77777777">
        <w:tc>
          <w:tcPr>
            <w:tcW w:w="2451" w:type="dxa"/>
          </w:tcPr>
          <w:p w14:paraId="694D1F40"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lastRenderedPageBreak/>
              <w:t xml:space="preserve">Condition </w:t>
            </w:r>
          </w:p>
          <w:p w14:paraId="4EB4BA02"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- 100 words + figure</w:t>
            </w:r>
          </w:p>
        </w:tc>
        <w:tc>
          <w:tcPr>
            <w:tcW w:w="6900" w:type="dxa"/>
          </w:tcPr>
          <w:p w14:paraId="0650BDD0" w14:textId="1B65F545" w:rsidR="001D5ED9" w:rsidRPr="005F054B" w:rsidRDefault="001D5ED9">
            <w:pPr>
              <w:tabs>
                <w:tab w:val="clear" w:pos="567"/>
              </w:tabs>
              <w:spacing w:after="0" w:line="240" w:lineRule="auto"/>
              <w:rPr>
                <w:rFonts w:cs="Calibri"/>
                <w:color w:val="auto"/>
                <w:sz w:val="24"/>
              </w:rPr>
            </w:pPr>
            <w:r w:rsidRPr="005F054B">
              <w:rPr>
                <w:rFonts w:cs="Calibri"/>
                <w:color w:val="auto"/>
                <w:sz w:val="24"/>
              </w:rPr>
              <w:t xml:space="preserve">The condition of breeding populations of Roseate tern was assessed using the common indicator of marine bird breeding productivity (B3) in combination with data obtained from the literature. The expected annual population growth rates based </w:t>
            </w:r>
            <w:r w:rsidR="00E60707" w:rsidRPr="005F054B">
              <w:rPr>
                <w:rFonts w:cs="Calibri"/>
                <w:color w:val="auto"/>
                <w:sz w:val="24"/>
              </w:rPr>
              <w:t>on</w:t>
            </w:r>
            <w:r w:rsidRPr="005F054B">
              <w:rPr>
                <w:rFonts w:cs="Calibri"/>
                <w:color w:val="auto"/>
                <w:sz w:val="24"/>
              </w:rPr>
              <w:t xml:space="preserve"> demographic data of Roseate tern in Region</w:t>
            </w:r>
            <w:r w:rsidR="00E60707">
              <w:rPr>
                <w:rFonts w:cs="Calibri"/>
                <w:color w:val="auto"/>
                <w:sz w:val="24"/>
              </w:rPr>
              <w:t>s</w:t>
            </w:r>
            <w:r w:rsidRPr="005F054B">
              <w:rPr>
                <w:rFonts w:cs="Calibri"/>
                <w:color w:val="auto"/>
                <w:sz w:val="24"/>
              </w:rPr>
              <w:t xml:space="preserve"> II and III were above the threshold values (</w:t>
            </w:r>
            <w:r w:rsidRPr="001537C0">
              <w:rPr>
                <w:rFonts w:cs="Calibri"/>
                <w:b/>
                <w:bCs/>
                <w:color w:val="auto"/>
                <w:sz w:val="24"/>
              </w:rPr>
              <w:t>Figure 3</w:t>
            </w:r>
            <w:r w:rsidRPr="005F054B">
              <w:rPr>
                <w:rFonts w:cs="Calibri"/>
                <w:color w:val="auto"/>
                <w:sz w:val="24"/>
              </w:rPr>
              <w:t xml:space="preserve">). Despite the relatively stable trend of the single colony located in Region IV, it showed low breeding </w:t>
            </w:r>
            <w:r w:rsidR="00E60707" w:rsidRPr="005F054B">
              <w:rPr>
                <w:rFonts w:cs="Calibri"/>
                <w:color w:val="auto"/>
                <w:sz w:val="24"/>
              </w:rPr>
              <w:t>productivity</w:t>
            </w:r>
            <w:r w:rsidRPr="005F054B">
              <w:rPr>
                <w:rFonts w:cs="Calibri"/>
                <w:color w:val="auto"/>
                <w:sz w:val="24"/>
              </w:rPr>
              <w:t xml:space="preserve"> (MacLeod-Nolan 2023). In Region V, productivity in the Azores was infrequently monitored during the last decades, preventing any assessment.</w:t>
            </w:r>
          </w:p>
          <w:p w14:paraId="628E9B4B" w14:textId="77777777" w:rsidR="001D5ED9" w:rsidRPr="005F054B" w:rsidRDefault="001D5ED9">
            <w:pPr>
              <w:tabs>
                <w:tab w:val="clear" w:pos="567"/>
              </w:tabs>
              <w:spacing w:after="0" w:line="240" w:lineRule="auto"/>
              <w:rPr>
                <w:rFonts w:cs="Calibri"/>
                <w:i/>
                <w:color w:val="auto"/>
                <w:sz w:val="24"/>
              </w:rPr>
            </w:pPr>
          </w:p>
          <w:p w14:paraId="13E87812" w14:textId="77777777" w:rsidR="001D5ED9" w:rsidRPr="005F054B" w:rsidRDefault="001D5ED9">
            <w:pPr>
              <w:numPr>
                <w:ilvl w:val="0"/>
                <w:numId w:val="35"/>
              </w:numPr>
              <w:tabs>
                <w:tab w:val="clear" w:pos="567"/>
              </w:tabs>
              <w:spacing w:after="140" w:line="280" w:lineRule="atLeast"/>
              <w:rPr>
                <w:rFonts w:cs="Calibri"/>
                <w:color w:val="auto"/>
                <w:sz w:val="24"/>
              </w:rPr>
            </w:pPr>
            <w:r w:rsidRPr="005F054B">
              <w:rPr>
                <w:rFonts w:cs="Calibri"/>
                <w:color w:val="auto"/>
                <w:sz w:val="24"/>
              </w:rPr>
              <w:t>Greater North Sea</w:t>
            </w:r>
          </w:p>
          <w:p w14:paraId="58530CA0" w14:textId="77777777" w:rsidR="001D5ED9" w:rsidRPr="005F054B" w:rsidRDefault="001D5ED9">
            <w:pPr>
              <w:tabs>
                <w:tab w:val="clear" w:pos="567"/>
              </w:tabs>
              <w:spacing w:after="0" w:line="240" w:lineRule="auto"/>
              <w:rPr>
                <w:color w:val="auto"/>
                <w:sz w:val="24"/>
              </w:rPr>
            </w:pPr>
            <w:r w:rsidRPr="005F054B">
              <w:rPr>
                <w:noProof/>
                <w:color w:val="auto"/>
                <w:sz w:val="24"/>
                <w:lang w:val="pt-PT" w:eastAsia="pt-PT"/>
                <w14:ligatures w14:val="standardContextual"/>
              </w:rPr>
              <w:lastRenderedPageBreak/>
              <w:drawing>
                <wp:inline distT="0" distB="0" distL="0" distR="0" wp14:anchorId="459B6801" wp14:editId="7E9DA257">
                  <wp:extent cx="3600000" cy="3600000"/>
                  <wp:effectExtent l="0" t="0" r="635" b="635"/>
                  <wp:docPr id="12" name="Imagem 12" descr="A chart with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12" descr="A chart with a line graph&#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00000" cy="3600000"/>
                          </a:xfrm>
                          <a:prstGeom prst="rect">
                            <a:avLst/>
                          </a:prstGeom>
                        </pic:spPr>
                      </pic:pic>
                    </a:graphicData>
                  </a:graphic>
                </wp:inline>
              </w:drawing>
            </w:r>
          </w:p>
          <w:p w14:paraId="051837E9" w14:textId="77777777" w:rsidR="001D5ED9" w:rsidRPr="005F054B" w:rsidRDefault="001D5ED9">
            <w:pPr>
              <w:numPr>
                <w:ilvl w:val="0"/>
                <w:numId w:val="35"/>
              </w:numPr>
              <w:tabs>
                <w:tab w:val="clear" w:pos="567"/>
              </w:tabs>
              <w:spacing w:after="140" w:line="280" w:lineRule="atLeast"/>
              <w:rPr>
                <w:rFonts w:cs="Calibri"/>
                <w:color w:val="auto"/>
                <w:sz w:val="24"/>
              </w:rPr>
            </w:pPr>
            <w:r w:rsidRPr="005F054B">
              <w:rPr>
                <w:rFonts w:cs="Calibri"/>
                <w:color w:val="auto"/>
                <w:sz w:val="24"/>
              </w:rPr>
              <w:t>Celtic Seas</w:t>
            </w:r>
          </w:p>
          <w:p w14:paraId="0D259AB2" w14:textId="77777777" w:rsidR="001D5ED9" w:rsidRPr="005F054B" w:rsidRDefault="001D5ED9">
            <w:pPr>
              <w:tabs>
                <w:tab w:val="clear" w:pos="567"/>
              </w:tabs>
              <w:spacing w:after="0" w:line="240" w:lineRule="auto"/>
              <w:rPr>
                <w:rFonts w:cs="Calibri"/>
                <w:i/>
                <w:color w:val="auto"/>
                <w:sz w:val="24"/>
              </w:rPr>
            </w:pPr>
            <w:r w:rsidRPr="005F054B">
              <w:rPr>
                <w:rFonts w:cs="Calibri"/>
                <w:i/>
                <w:noProof/>
                <w:color w:val="auto"/>
                <w:sz w:val="24"/>
                <w:lang w:val="pt-PT" w:eastAsia="pt-PT"/>
                <w14:ligatures w14:val="standardContextual"/>
              </w:rPr>
              <w:drawing>
                <wp:inline distT="0" distB="0" distL="0" distR="0" wp14:anchorId="5846BCCD" wp14:editId="2CC5F34B">
                  <wp:extent cx="3600000" cy="3600000"/>
                  <wp:effectExtent l="0" t="0" r="635" b="635"/>
                  <wp:docPr id="13" name="Imagem 13" descr="A graph showing the number of different colore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descr="A graph showing the number of different colored lines&#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00000" cy="3600000"/>
                          </a:xfrm>
                          <a:prstGeom prst="rect">
                            <a:avLst/>
                          </a:prstGeom>
                        </pic:spPr>
                      </pic:pic>
                    </a:graphicData>
                  </a:graphic>
                </wp:inline>
              </w:drawing>
            </w:r>
          </w:p>
          <w:p w14:paraId="76AC6937" w14:textId="77777777" w:rsidR="001D5ED9" w:rsidRPr="005F054B" w:rsidRDefault="001D5ED9">
            <w:pPr>
              <w:shd w:val="clear" w:color="auto" w:fill="FFFFFF"/>
              <w:tabs>
                <w:tab w:val="clear" w:pos="567"/>
              </w:tabs>
              <w:spacing w:after="150" w:line="240" w:lineRule="auto"/>
              <w:rPr>
                <w:rFonts w:cs="Calibri"/>
                <w:i/>
                <w:color w:val="auto"/>
                <w:sz w:val="20"/>
                <w:lang w:eastAsia="en-GB"/>
              </w:rPr>
            </w:pPr>
            <w:r w:rsidRPr="005F054B">
              <w:rPr>
                <w:rFonts w:cs="Calibri"/>
                <w:i/>
                <w:color w:val="auto"/>
                <w:sz w:val="20"/>
                <w:lang w:eastAsia="en-GB"/>
              </w:rPr>
              <w:t xml:space="preserve">Figure 3: Expected annual population growth rates in OSPAR Regions II and III. The colour-coded background shows the threshold values; values in the green zone indicate the threshold is achieved, whereas values in the other zones are below and indicate the threshold has been failed. For illustration, the figure also shows a </w:t>
            </w:r>
            <w:r w:rsidRPr="005F054B">
              <w:rPr>
                <w:rFonts w:cs="Calibri"/>
                <w:i/>
                <w:color w:val="auto"/>
                <w:sz w:val="20"/>
                <w:lang w:eastAsia="en-GB"/>
              </w:rPr>
              <w:lastRenderedPageBreak/>
              <w:t>breakdown for the corresponding IUCN red list categories of Vulnerable (VU), Endangered (EN) and Critically Endangered (CR).</w:t>
            </w:r>
          </w:p>
          <w:p w14:paraId="4F4D58EB" w14:textId="02794EB8"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 Method of assessment: 3a, b and d – sources: Frederiksen et al (2022), MacLeod-Nolan (2023), OSPAR (2023), Piec (2021).</w:t>
            </w:r>
          </w:p>
        </w:tc>
      </w:tr>
      <w:tr w:rsidR="001D5ED9" w:rsidRPr="005F054B" w14:paraId="262AC71B" w14:textId="77777777">
        <w:tc>
          <w:tcPr>
            <w:tcW w:w="2451" w:type="dxa"/>
          </w:tcPr>
          <w:p w14:paraId="23393480"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lastRenderedPageBreak/>
              <w:t>Threats and impacts</w:t>
            </w:r>
          </w:p>
          <w:p w14:paraId="649FCB85"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- 100 words</w:t>
            </w:r>
          </w:p>
        </w:tc>
        <w:tc>
          <w:tcPr>
            <w:tcW w:w="6900" w:type="dxa"/>
          </w:tcPr>
          <w:p w14:paraId="614F8FEC"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Predation and displacement by large gulls, native mammals and non-indigenous species are still considered high level threats in most of OSPAR Regions. However, some management examples proved to be effective towards tern protection. Additionally, the trapping of adult terns in wintering areas (mostly Ghana) still occurs but at lower levels. </w:t>
            </w:r>
          </w:p>
          <w:p w14:paraId="44512C12" w14:textId="3A36F26A" w:rsidR="001D5ED9" w:rsidRDefault="001D5ED9">
            <w:pPr>
              <w:tabs>
                <w:tab w:val="clear" w:pos="567"/>
              </w:tabs>
              <w:spacing w:after="0" w:line="240" w:lineRule="auto"/>
              <w:rPr>
                <w:rFonts w:cs="Calibri"/>
                <w:i/>
                <w:color w:val="auto"/>
                <w:sz w:val="24"/>
              </w:rPr>
            </w:pPr>
            <w:r w:rsidRPr="005F054B">
              <w:rPr>
                <w:rFonts w:cs="Calibri"/>
                <w:color w:val="auto"/>
                <w:sz w:val="24"/>
              </w:rPr>
              <w:t>Medium-level threats identified in the previous assessment remain, including predation by bird species, other than large gulls, habitat damage due to uncontrolled access of people in breeding grounds, egg collecting, climate-driven events, food shortages, development of offshore windfarms, overfishing and climate change impacts on cold water upwelling systems.</w:t>
            </w:r>
            <w:r w:rsidRPr="005F054B">
              <w:rPr>
                <w:rFonts w:cs="Calibri"/>
                <w:i/>
                <w:color w:val="auto"/>
                <w:sz w:val="24"/>
              </w:rPr>
              <w:t xml:space="preserve"> </w:t>
            </w:r>
          </w:p>
          <w:p w14:paraId="31F363B2" w14:textId="77777777" w:rsidR="00E60707" w:rsidRPr="005F054B" w:rsidRDefault="00E60707">
            <w:pPr>
              <w:tabs>
                <w:tab w:val="clear" w:pos="567"/>
              </w:tabs>
              <w:spacing w:after="0" w:line="240" w:lineRule="auto"/>
              <w:rPr>
                <w:rFonts w:cs="Calibri"/>
                <w:i/>
                <w:color w:val="auto"/>
                <w:sz w:val="24"/>
              </w:rPr>
            </w:pPr>
          </w:p>
          <w:p w14:paraId="7914987C"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A severe </w:t>
            </w:r>
            <w:proofErr w:type="gramStart"/>
            <w:r w:rsidRPr="005F054B">
              <w:rPr>
                <w:rFonts w:cs="Calibri"/>
                <w:color w:val="auto"/>
                <w:sz w:val="24"/>
              </w:rPr>
              <w:t>mortality event</w:t>
            </w:r>
            <w:proofErr w:type="gramEnd"/>
            <w:r w:rsidRPr="005F054B">
              <w:rPr>
                <w:rFonts w:cs="Calibri"/>
                <w:color w:val="auto"/>
                <w:sz w:val="24"/>
              </w:rPr>
              <w:t xml:space="preserve"> caused by a Highly Pathogenic Avian Influenza (HPAI) outbreak resulted in a reduction of 21% of breeding pairs from 2022 to 2023 in Coquet Island (</w:t>
            </w:r>
            <w:r w:rsidRPr="005F054B">
              <w:rPr>
                <w:color w:val="auto"/>
                <w:sz w:val="24"/>
              </w:rPr>
              <w:t>Tremlett et al, 2024)</w:t>
            </w:r>
            <w:r w:rsidRPr="005F054B">
              <w:rPr>
                <w:rFonts w:cs="Calibri"/>
                <w:color w:val="auto"/>
                <w:sz w:val="24"/>
              </w:rPr>
              <w:t xml:space="preserve">. Showing the high-level impact that such diseases might have. </w:t>
            </w:r>
          </w:p>
        </w:tc>
      </w:tr>
      <w:tr w:rsidR="001D5ED9" w:rsidRPr="005F054B" w14:paraId="2DA1F3F8" w14:textId="77777777">
        <w:tc>
          <w:tcPr>
            <w:tcW w:w="2451" w:type="dxa"/>
          </w:tcPr>
          <w:p w14:paraId="52252C9A"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Measures that address key pressures from human activities or conserve the species/habitat</w:t>
            </w:r>
          </w:p>
          <w:p w14:paraId="772CE8F5"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- 100 words</w:t>
            </w:r>
          </w:p>
        </w:tc>
        <w:tc>
          <w:tcPr>
            <w:tcW w:w="6900" w:type="dxa"/>
          </w:tcPr>
          <w:p w14:paraId="10F1F71E" w14:textId="59C80D51" w:rsidR="001D5ED9" w:rsidRPr="005F054B" w:rsidRDefault="001D5ED9">
            <w:pPr>
              <w:tabs>
                <w:tab w:val="clear" w:pos="567"/>
              </w:tabs>
              <w:spacing w:after="0" w:line="240" w:lineRule="auto"/>
              <w:rPr>
                <w:rFonts w:cs="Calibri"/>
                <w:iCs/>
                <w:color w:val="auto"/>
                <w:sz w:val="24"/>
              </w:rPr>
            </w:pPr>
            <w:r w:rsidRPr="005F054B">
              <w:rPr>
                <w:rFonts w:cs="Calibri"/>
                <w:iCs/>
                <w:color w:val="auto"/>
                <w:sz w:val="24"/>
              </w:rPr>
              <w:t xml:space="preserve">Roseate tern is legally protected in all countries within the OSPAR area where the species occurs. Additionally, all breeding colonies are located within Special Protection Areas (SPA), across France (3), Ireland (2), Portugal (12) and the UK (3), some of them also including foraging areas. The </w:t>
            </w:r>
            <w:hyperlink r:id="rId16" w:history="1">
              <w:r w:rsidRPr="00D2687C">
                <w:rPr>
                  <w:rStyle w:val="Hyperlink"/>
                  <w:rFonts w:cs="Calibri"/>
                  <w:iCs/>
                  <w:sz w:val="24"/>
                </w:rPr>
                <w:t>OSPAR’s Regional Action Plan for Marine Birds in the North-East Atlantic (2024-2030)</w:t>
              </w:r>
            </w:hyperlink>
            <w:r w:rsidRPr="005F054B">
              <w:rPr>
                <w:rFonts w:cs="Calibri"/>
                <w:iCs/>
                <w:color w:val="auto"/>
                <w:sz w:val="24"/>
              </w:rPr>
              <w:t xml:space="preserve"> was published in 2024. The International Species Action Plan for the Conservation of the Roseate tern in the East Atlantic (2021-2030) was published in 2021 (Piec &amp; Dunn 2021). Portugal (Madeira) published a regional action plan for 14 seabird species, including Roseate tern (SPNM, 2015). All these measures followed the </w:t>
            </w:r>
            <w:hyperlink r:id="rId17" w:history="1">
              <w:r w:rsidRPr="00D2687C">
                <w:rPr>
                  <w:rStyle w:val="Hyperlink"/>
                  <w:rFonts w:cs="Calibri"/>
                  <w:iCs/>
                  <w:sz w:val="24"/>
                </w:rPr>
                <w:t>OSPAR Recommendation 2011/06</w:t>
              </w:r>
            </w:hyperlink>
            <w:r w:rsidRPr="005F054B">
              <w:rPr>
                <w:rFonts w:cs="Calibri"/>
                <w:iCs/>
                <w:color w:val="auto"/>
                <w:sz w:val="24"/>
              </w:rPr>
              <w:t>, namely 3.1 and 3.2.</w:t>
            </w:r>
          </w:p>
        </w:tc>
      </w:tr>
      <w:tr w:rsidR="001D5ED9" w:rsidRPr="005F054B" w14:paraId="09CE8677" w14:textId="77777777">
        <w:tc>
          <w:tcPr>
            <w:tcW w:w="2451" w:type="dxa"/>
          </w:tcPr>
          <w:p w14:paraId="3919422B"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Conclusion (including management considerations) </w:t>
            </w:r>
          </w:p>
          <w:p w14:paraId="190C33A1"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- 250 words</w:t>
            </w:r>
          </w:p>
        </w:tc>
        <w:tc>
          <w:tcPr>
            <w:tcW w:w="6900" w:type="dxa"/>
          </w:tcPr>
          <w:p w14:paraId="04257053" w14:textId="04FA316F"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Since the first status assessment in 2009, there </w:t>
            </w:r>
            <w:r w:rsidR="00C95D4E" w:rsidRPr="005F054B">
              <w:rPr>
                <w:rFonts w:cs="Calibri"/>
                <w:color w:val="auto"/>
                <w:sz w:val="24"/>
              </w:rPr>
              <w:t>have</w:t>
            </w:r>
            <w:r w:rsidRPr="005F054B">
              <w:rPr>
                <w:rFonts w:cs="Calibri"/>
                <w:color w:val="auto"/>
                <w:sz w:val="24"/>
              </w:rPr>
              <w:t xml:space="preserve"> been considerable improvements towards the conservation of Roseate tern, although intensive management measures at key colonies and increased protection in crucial wintering grounds remain necessary.</w:t>
            </w:r>
          </w:p>
          <w:p w14:paraId="2B52C28C" w14:textId="12C68833"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Most of the colonies in North-West Europe, and some in Azores, are actively managed for the provision of nesting habitat, control of predation and disturbance, biosecurity measures and monitoring. A recovery at the Irish and UK colonies has been noticed over the last 3 decades, although the size of those populations </w:t>
            </w:r>
            <w:r w:rsidR="00C95D4E" w:rsidRPr="005F054B">
              <w:rPr>
                <w:rFonts w:cs="Calibri"/>
                <w:color w:val="auto"/>
                <w:sz w:val="24"/>
              </w:rPr>
              <w:t>is</w:t>
            </w:r>
            <w:r w:rsidRPr="005F054B">
              <w:rPr>
                <w:rFonts w:cs="Calibri"/>
                <w:color w:val="auto"/>
                <w:sz w:val="24"/>
              </w:rPr>
              <w:t xml:space="preserve"> far below the historic numbers found during the 1960’s. The situation in France and </w:t>
            </w:r>
            <w:r w:rsidRPr="005F054B">
              <w:rPr>
                <w:rFonts w:cs="Calibri"/>
                <w:color w:val="auto"/>
                <w:sz w:val="24"/>
              </w:rPr>
              <w:lastRenderedPageBreak/>
              <w:t>in Azores is much more variable as the level of management of colonies has been less robust. Consequently, colonies tend to relocate more frequently, depending on the local conditions each year.</w:t>
            </w:r>
          </w:p>
          <w:p w14:paraId="20FE36A6"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Predation and displacement by large gulls, native mammals and non-indigenous species are still considered the most problematic threats in the OSPAR area, reducing breeding productivity, which may enhance the negative effect of the lower adult survival rates found at certain sites.</w:t>
            </w:r>
          </w:p>
          <w:p w14:paraId="53834436"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Although beyond the OSPAR maritime area, tern trapping continues in wintering grounds (in west Africa) which may limit the recovery of Roseate tern. Communication, raising awareness and coordination with other conventions (e.g. AEWA) and/or organizations would be desirable.</w:t>
            </w:r>
          </w:p>
          <w:p w14:paraId="6DDCB783"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The condition of the population breeding in Region V, as well as their wintering areas are still poorly understood. Moreover, threats in the known wintering grounds and migration routes used by all OSPAR populations have been largely neglected. Changes at those locations could have serious implications to Roseate terns. </w:t>
            </w:r>
          </w:p>
          <w:p w14:paraId="47790C02" w14:textId="5EEC0805"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A re-assessment could be conducted </w:t>
            </w:r>
            <w:r w:rsidR="00C95D4E" w:rsidRPr="005F054B">
              <w:rPr>
                <w:rFonts w:cs="Calibri"/>
                <w:color w:val="auto"/>
                <w:sz w:val="24"/>
              </w:rPr>
              <w:t>over</w:t>
            </w:r>
            <w:r w:rsidRPr="005F054B">
              <w:rPr>
                <w:rFonts w:cs="Calibri"/>
                <w:color w:val="auto"/>
                <w:sz w:val="24"/>
              </w:rPr>
              <w:t xml:space="preserve"> a long-term cycle, i.e. 10 </w:t>
            </w:r>
            <w:proofErr w:type="gramStart"/>
            <w:r w:rsidRPr="005F054B">
              <w:rPr>
                <w:rFonts w:cs="Calibri"/>
                <w:color w:val="auto"/>
                <w:sz w:val="24"/>
              </w:rPr>
              <w:t>year</w:t>
            </w:r>
            <w:proofErr w:type="gramEnd"/>
            <w:r w:rsidRPr="005F054B">
              <w:rPr>
                <w:rFonts w:cs="Calibri"/>
                <w:color w:val="auto"/>
                <w:sz w:val="24"/>
              </w:rPr>
              <w:t>, based on the anticipated availability of evidence and expected development of the populations.</w:t>
            </w:r>
          </w:p>
        </w:tc>
      </w:tr>
      <w:tr w:rsidR="001D5ED9" w:rsidRPr="005F054B" w14:paraId="4CA2804F" w14:textId="77777777">
        <w:tc>
          <w:tcPr>
            <w:tcW w:w="2451" w:type="dxa"/>
          </w:tcPr>
          <w:p w14:paraId="53093F9F"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lastRenderedPageBreak/>
              <w:t>Knowledge gaps (brief)</w:t>
            </w:r>
          </w:p>
          <w:p w14:paraId="24DAA00A" w14:textId="77777777" w:rsidR="001D5ED9" w:rsidRPr="005F054B" w:rsidRDefault="001D5ED9">
            <w:pPr>
              <w:tabs>
                <w:tab w:val="clear" w:pos="567"/>
              </w:tabs>
              <w:spacing w:line="240" w:lineRule="auto"/>
              <w:rPr>
                <w:rFonts w:cs="Calibri"/>
                <w:color w:val="auto"/>
                <w:sz w:val="24"/>
              </w:rPr>
            </w:pPr>
          </w:p>
          <w:p w14:paraId="723A5AF9"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- 100 words</w:t>
            </w:r>
          </w:p>
        </w:tc>
        <w:tc>
          <w:tcPr>
            <w:tcW w:w="6900" w:type="dxa"/>
          </w:tcPr>
          <w:p w14:paraId="43C0FD44" w14:textId="27D8655E"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Lack of </w:t>
            </w:r>
            <w:proofErr w:type="spellStart"/>
            <w:r w:rsidRPr="005F054B">
              <w:rPr>
                <w:rFonts w:cs="Calibri"/>
                <w:color w:val="auto"/>
                <w:sz w:val="24"/>
              </w:rPr>
              <w:t>standardi</w:t>
            </w:r>
            <w:r w:rsidR="00C95D4E">
              <w:rPr>
                <w:rFonts w:cs="Calibri"/>
                <w:color w:val="auto"/>
                <w:sz w:val="24"/>
              </w:rPr>
              <w:t>s</w:t>
            </w:r>
            <w:r w:rsidRPr="005F054B">
              <w:rPr>
                <w:rFonts w:cs="Calibri"/>
                <w:color w:val="auto"/>
                <w:sz w:val="24"/>
              </w:rPr>
              <w:t>ation</w:t>
            </w:r>
            <w:proofErr w:type="spellEnd"/>
            <w:r w:rsidRPr="005F054B">
              <w:rPr>
                <w:rFonts w:cs="Calibri"/>
                <w:color w:val="auto"/>
                <w:sz w:val="24"/>
              </w:rPr>
              <w:t xml:space="preserve"> and sufficient quality of monitoring data to inform metapopulation management is most apparent in Region V. Where possible, at least basic demographic parameters should be recorded, in addition to the number of nesting pairs, such as clutch size and productivity.</w:t>
            </w:r>
          </w:p>
          <w:p w14:paraId="5DC0E874" w14:textId="1AA77CDC" w:rsidR="001D5ED9" w:rsidRPr="005F054B" w:rsidRDefault="001D5ED9">
            <w:pPr>
              <w:tabs>
                <w:tab w:val="clear" w:pos="567"/>
              </w:tabs>
              <w:spacing w:line="240" w:lineRule="auto"/>
              <w:rPr>
                <w:rFonts w:cs="Calibri"/>
                <w:color w:val="auto"/>
                <w:sz w:val="24"/>
              </w:rPr>
            </w:pPr>
            <w:r w:rsidRPr="005F054B">
              <w:rPr>
                <w:rFonts w:cs="Calibri"/>
                <w:color w:val="auto"/>
                <w:sz w:val="24"/>
              </w:rPr>
              <w:t>The lack of knowledge on the current conditions of staging sites within Region III, on the threats to coastal and marine environments induced by climate change and human disturbance, and on the current conditions of coastal wintering sites in West Africa and North</w:t>
            </w:r>
            <w:r w:rsidR="001537C0">
              <w:rPr>
                <w:rFonts w:cs="Calibri"/>
                <w:color w:val="auto"/>
                <w:sz w:val="24"/>
              </w:rPr>
              <w:t>-</w:t>
            </w:r>
            <w:r w:rsidRPr="005F054B">
              <w:rPr>
                <w:rFonts w:cs="Calibri"/>
                <w:color w:val="auto"/>
                <w:sz w:val="24"/>
              </w:rPr>
              <w:t>East South America are among the top priority limitations which need to be addressed.</w:t>
            </w:r>
          </w:p>
        </w:tc>
      </w:tr>
      <w:tr w:rsidR="001D5ED9" w:rsidRPr="005F054B" w14:paraId="18CB9853" w14:textId="77777777">
        <w:tc>
          <w:tcPr>
            <w:tcW w:w="2451" w:type="dxa"/>
          </w:tcPr>
          <w:p w14:paraId="11212C32"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References </w:t>
            </w:r>
          </w:p>
        </w:tc>
        <w:tc>
          <w:tcPr>
            <w:tcW w:w="6900" w:type="dxa"/>
          </w:tcPr>
          <w:p w14:paraId="40A9374E"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Cabot, D. 1996. Performance of the Roseate Tern Population Breeding in North-West Europe: Ireland, Britain and France, 1960-94. Biology and Environment: Proceedings of the Royal Irish Academy, 96B (2), 55-68.</w:t>
            </w:r>
          </w:p>
          <w:p w14:paraId="36BB8D91" w14:textId="77777777" w:rsidR="001D5ED9" w:rsidRPr="005F054B" w:rsidRDefault="001D5ED9">
            <w:pPr>
              <w:tabs>
                <w:tab w:val="clear" w:pos="567"/>
              </w:tabs>
              <w:spacing w:line="240" w:lineRule="auto"/>
              <w:rPr>
                <w:rFonts w:cs="Calibri"/>
                <w:color w:val="auto"/>
                <w:sz w:val="24"/>
              </w:rPr>
            </w:pPr>
            <w:r w:rsidRPr="001537C0">
              <w:rPr>
                <w:rFonts w:cs="Calibri"/>
                <w:color w:val="auto"/>
                <w:sz w:val="24"/>
                <w:lang w:val="fr-FR"/>
              </w:rPr>
              <w:t xml:space="preserve">Dierschke, V., Marra, S., Parsons, M., Fusi, M., French, G. 2022. </w:t>
            </w:r>
            <w:r w:rsidRPr="005F054B">
              <w:rPr>
                <w:rFonts w:cs="Calibri"/>
                <w:color w:val="auto"/>
                <w:sz w:val="24"/>
              </w:rPr>
              <w:t xml:space="preserve">Marine Bird Abundance. In: OSPAR, 2023: The 2023 Quality Status Report for the North-East Atlantic. OSPAR Commission, London. Available at: </w:t>
            </w:r>
            <w:hyperlink r:id="rId18" w:history="1">
              <w:r w:rsidRPr="005F054B">
                <w:rPr>
                  <w:rFonts w:cs="Calibri"/>
                  <w:color w:val="0563C1"/>
                  <w:sz w:val="24"/>
                  <w:u w:val="single"/>
                </w:rPr>
                <w:t>https://oap.ospar.org/en/ospar-assessments/quality-</w:t>
              </w:r>
              <w:r w:rsidRPr="005F054B">
                <w:rPr>
                  <w:rFonts w:cs="Calibri"/>
                  <w:color w:val="0563C1"/>
                  <w:sz w:val="24"/>
                  <w:u w:val="single"/>
                </w:rPr>
                <w:lastRenderedPageBreak/>
                <w:t>status-reports/qsr-2023/indicator-assessments/marine-bird-abundance</w:t>
              </w:r>
            </w:hyperlink>
          </w:p>
          <w:p w14:paraId="5432D289"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Frederiksen, M., Dierschke, V., Marra, S., Parsons, M., French, G., Fusi, M., Schekkerman, H., Anker-Nilssen, T., Mitchell, I. 2022. Marine Bird Breeding Productivity. In: OSPAR (2023): The 2023 Quality Status Report for the Northeast Atlantic. OSPAR Commission, London. Available at: https://oap.ospar.org/en/ospar-assessments/quality-status-reports/qsr-2023/indicator-assessments/marine-bird-breeding-productivity/</w:t>
            </w:r>
          </w:p>
          <w:p w14:paraId="3CC3A9F6"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JNCC. 2021. Seabird Population Trends and Causes of Change: 1986–2019 Report (https://jncc.gov.uk/our-work/smp-report-1986-2019). Joint Nature Conservation Committee, Peterborough. Updated 20 May 2021.</w:t>
            </w:r>
          </w:p>
          <w:p w14:paraId="395C1431"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MacLeod-Nolan, C. 2023. Annual Roseate Tern Newsletter 2022. Royal Society for the Protection of Birds (RSPB).</w:t>
            </w:r>
          </w:p>
          <w:p w14:paraId="1C7F5CC4"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Mitchell, P.I., Newton, S.F., Ratcliffe, N. &amp; Dunn, T.E. 2000. Joint Nature Conservation Committee, Peterborough, UK. </w:t>
            </w:r>
            <w:hyperlink r:id="rId19" w:history="1">
              <w:r w:rsidRPr="005F054B">
                <w:rPr>
                  <w:rFonts w:cs="Calibri"/>
                  <w:color w:val="0563C1"/>
                  <w:sz w:val="24"/>
                  <w:u w:val="single"/>
                </w:rPr>
                <w:t>https://doi.org/10.15468/ibm5hb</w:t>
              </w:r>
            </w:hyperlink>
          </w:p>
          <w:p w14:paraId="5D16912F"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OSPAR. 2008. Case Reports for the OSPAR List of Threatened and/or Declining Species and Habitats: </w:t>
            </w:r>
            <w:r w:rsidRPr="005F054B">
              <w:rPr>
                <w:rFonts w:cs="Calibri"/>
                <w:i/>
                <w:color w:val="auto"/>
                <w:sz w:val="24"/>
              </w:rPr>
              <w:t>Sterna dougallii</w:t>
            </w:r>
            <w:r w:rsidRPr="005F054B">
              <w:rPr>
                <w:rFonts w:cs="Calibri"/>
                <w:color w:val="auto"/>
                <w:sz w:val="24"/>
              </w:rPr>
              <w:t xml:space="preserve"> – Roseate tern. https://www.ospar.org/site/assets/files/44255/roseate_tern.pdf</w:t>
            </w:r>
          </w:p>
          <w:p w14:paraId="45CCAAF0"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OSPAR. 2009. Background document for Roseate tern </w:t>
            </w:r>
            <w:r w:rsidRPr="005F054B">
              <w:rPr>
                <w:rFonts w:cs="Calibri"/>
                <w:i/>
                <w:color w:val="auto"/>
                <w:sz w:val="24"/>
              </w:rPr>
              <w:t>Sterna dougallii</w:t>
            </w:r>
            <w:r w:rsidRPr="005F054B">
              <w:rPr>
                <w:rFonts w:cs="Calibri"/>
                <w:color w:val="auto"/>
                <w:sz w:val="24"/>
              </w:rPr>
              <w:t xml:space="preserve">.  </w:t>
            </w:r>
          </w:p>
          <w:p w14:paraId="57C6A47C"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OSPAR. 2023. The 2023 Quality Status Report for the Northeast Atlantic. OSPAR Commission, London.</w:t>
            </w:r>
          </w:p>
          <w:p w14:paraId="7AA10714"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Piec, D. 2021. Improving the conservation prospects of the priority species roseate tern throughout its range in the UK and Ireland. After-LIFE Conservation Plan. Developed under the framework of the Roseate Tern LIFE Project (LIFE14 NAT/UK/000394). European Commission 2021.</w:t>
            </w:r>
          </w:p>
          <w:p w14:paraId="0E9988E6" w14:textId="77777777" w:rsidR="001D5ED9" w:rsidRPr="005F054B" w:rsidRDefault="001D5ED9">
            <w:pPr>
              <w:tabs>
                <w:tab w:val="clear" w:pos="567"/>
              </w:tabs>
              <w:spacing w:line="240" w:lineRule="auto"/>
              <w:rPr>
                <w:rFonts w:cs="Calibri"/>
                <w:color w:val="auto"/>
                <w:sz w:val="24"/>
                <w:lang w:val="pt-PT"/>
              </w:rPr>
            </w:pPr>
            <w:r w:rsidRPr="005F054B">
              <w:rPr>
                <w:rFonts w:cs="Calibri"/>
                <w:color w:val="auto"/>
                <w:sz w:val="24"/>
              </w:rPr>
              <w:t xml:space="preserve">Piec, D. &amp; Dunn, E.K. 2021. International (East Atlantic) Species Action Plan for the Conservation of the roseate tern Sterna dougallii (2021-2030). Developed under the framework of the Roseate Tern LIFE Project (LIFE14 NAT/UK/000394). </w:t>
            </w:r>
            <w:r w:rsidRPr="005F054B">
              <w:rPr>
                <w:rFonts w:cs="Calibri"/>
                <w:color w:val="auto"/>
                <w:sz w:val="24"/>
                <w:lang w:val="pt-PT"/>
              </w:rPr>
              <w:t>European Commission 2021.</w:t>
            </w:r>
          </w:p>
          <w:p w14:paraId="33259222" w14:textId="77777777" w:rsidR="001D5ED9" w:rsidRPr="0022187E" w:rsidRDefault="001D5ED9">
            <w:pPr>
              <w:tabs>
                <w:tab w:val="clear" w:pos="567"/>
              </w:tabs>
              <w:spacing w:line="240" w:lineRule="auto"/>
              <w:rPr>
                <w:rFonts w:cs="Calibri"/>
                <w:color w:val="auto"/>
                <w:sz w:val="24"/>
                <w:lang w:val="sv-SE"/>
              </w:rPr>
            </w:pPr>
            <w:r w:rsidRPr="005F054B">
              <w:rPr>
                <w:rFonts w:cs="Calibri"/>
                <w:color w:val="auto"/>
                <w:sz w:val="24"/>
                <w:lang w:val="pt-PT"/>
              </w:rPr>
              <w:t xml:space="preserve">Quemmerais-Amice, G. 2011.  Rapport technique final. Conservation de la sterne de Dougall en Bretagne. Bretagne Vivante. </w:t>
            </w:r>
            <w:r>
              <w:fldChar w:fldCharType="begin"/>
            </w:r>
            <w:r w:rsidRPr="001605BE">
              <w:rPr>
                <w:lang w:val="fr-FR"/>
              </w:rPr>
              <w:instrText>HYPERLINK "https://webgate.ec.europa.eu/life/publicWebsite/project/LIFE05-NAT-F-000137/conservation-of-the-roseate-tern-in-brittany"</w:instrText>
            </w:r>
            <w:r>
              <w:fldChar w:fldCharType="separate"/>
            </w:r>
            <w:r w:rsidRPr="0022187E">
              <w:rPr>
                <w:rFonts w:cs="Calibri"/>
                <w:color w:val="0563C1"/>
                <w:sz w:val="24"/>
                <w:u w:val="single"/>
                <w:lang w:val="sv-SE"/>
              </w:rPr>
              <w:t>https://webgate.ec.europa.eu/life/publicWebsite/project/LIFE05-NAT-F-000137/conservation-of-the-roseate-tern-in-brittany</w:t>
            </w:r>
            <w:r>
              <w:fldChar w:fldCharType="end"/>
            </w:r>
          </w:p>
          <w:p w14:paraId="4363ED21" w14:textId="77777777" w:rsidR="001D5ED9" w:rsidRPr="005F054B" w:rsidRDefault="001D5ED9">
            <w:pPr>
              <w:tabs>
                <w:tab w:val="clear" w:pos="567"/>
              </w:tabs>
              <w:spacing w:line="240" w:lineRule="auto"/>
              <w:rPr>
                <w:rFonts w:cs="Calibri"/>
                <w:color w:val="auto"/>
                <w:sz w:val="24"/>
                <w:lang w:val="pt-PT"/>
              </w:rPr>
            </w:pPr>
            <w:r w:rsidRPr="005F054B">
              <w:rPr>
                <w:rFonts w:cs="Calibri"/>
                <w:color w:val="auto"/>
                <w:sz w:val="24"/>
                <w:lang w:val="pt-PT"/>
              </w:rPr>
              <w:t xml:space="preserve">SPNM. 2015. Planos de Ação das 14 espécies alvo do projeto LIFE ILHÉUS DO PORTO SANTO (LIFE09 NAT/PT/000041). Serviço do Parque Natural da Madeira (SPNM). </w:t>
            </w:r>
            <w:r>
              <w:lastRenderedPageBreak/>
              <w:fldChar w:fldCharType="begin"/>
            </w:r>
            <w:r w:rsidRPr="001605BE">
              <w:rPr>
                <w:lang w:val="pt-PT"/>
              </w:rPr>
              <w:instrText>HYPERLINK "https://ifcn.madeira.gov.pt/images/Doc_Artigos/Biodiversidade/Projetos/lips/Relatorios/planosacao14esp.pdf"</w:instrText>
            </w:r>
            <w:r>
              <w:fldChar w:fldCharType="separate"/>
            </w:r>
            <w:r w:rsidRPr="005F054B">
              <w:rPr>
                <w:rFonts w:cs="Calibri"/>
                <w:color w:val="0563C1"/>
                <w:sz w:val="24"/>
                <w:u w:val="single"/>
                <w:lang w:val="pt-PT"/>
              </w:rPr>
              <w:t>https://ifcn.madeira.gov.pt/images/Doc_Artigos/Biodiversidade/Projetos/lips/Relatorios/planosacao14esp.pdf</w:t>
            </w:r>
            <w:r>
              <w:fldChar w:fldCharType="end"/>
            </w:r>
          </w:p>
          <w:p w14:paraId="6B8CEF77" w14:textId="77777777" w:rsidR="001D5ED9" w:rsidRPr="005F054B" w:rsidRDefault="001D5ED9">
            <w:pPr>
              <w:tabs>
                <w:tab w:val="clear" w:pos="567"/>
              </w:tabs>
              <w:spacing w:line="240" w:lineRule="auto"/>
              <w:rPr>
                <w:rFonts w:cs="Calibri"/>
                <w:color w:val="auto"/>
                <w:sz w:val="24"/>
                <w:lang w:val="pt-PT"/>
              </w:rPr>
            </w:pPr>
            <w:r w:rsidRPr="005F054B">
              <w:rPr>
                <w:rFonts w:cs="Calibri"/>
                <w:color w:val="auto"/>
                <w:sz w:val="24"/>
              </w:rPr>
              <w:t xml:space="preserve">Tremlett, C.J., Morley, N., and Wilson, L.J. (2024). UK seabird colony counts in 2023 following the 2021-22 outbreak of Highly Pathogenic Avian Influenza. RSPB Research Report 76. RSPB Centre for Conservation Science, RSPB, The Lodge, Sandy, Bedfordshire, SG19 2DL. </w:t>
            </w:r>
            <w:r w:rsidRPr="005F054B">
              <w:rPr>
                <w:rFonts w:cs="Calibri"/>
                <w:color w:val="auto"/>
                <w:sz w:val="24"/>
                <w:lang w:val="pt-PT"/>
              </w:rPr>
              <w:t>ISBN: 978-1-905601-72-1</w:t>
            </w:r>
          </w:p>
        </w:tc>
      </w:tr>
      <w:tr w:rsidR="001D5ED9" w:rsidRPr="005F054B" w14:paraId="4E75D469" w14:textId="77777777">
        <w:trPr>
          <w:trHeight w:val="4740"/>
        </w:trPr>
        <w:tc>
          <w:tcPr>
            <w:tcW w:w="2451" w:type="dxa"/>
          </w:tcPr>
          <w:p w14:paraId="559F77CD"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lastRenderedPageBreak/>
              <w:t>Methods used</w:t>
            </w:r>
          </w:p>
        </w:tc>
        <w:tc>
          <w:tcPr>
            <w:tcW w:w="6900" w:type="dxa"/>
          </w:tcPr>
          <w:p w14:paraId="61C3D088"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Main source of information:</w:t>
            </w:r>
          </w:p>
          <w:p w14:paraId="3023E22D" w14:textId="77777777" w:rsidR="001D5ED9" w:rsidRPr="005F054B" w:rsidRDefault="001D5ED9">
            <w:pPr>
              <w:numPr>
                <w:ilvl w:val="0"/>
                <w:numId w:val="40"/>
              </w:numPr>
              <w:tabs>
                <w:tab w:val="clear" w:pos="567"/>
              </w:tabs>
              <w:spacing w:after="0" w:line="240" w:lineRule="auto"/>
              <w:contextualSpacing/>
              <w:rPr>
                <w:rFonts w:cs="Calibri"/>
                <w:color w:val="auto"/>
                <w:sz w:val="24"/>
              </w:rPr>
            </w:pPr>
            <w:r w:rsidRPr="005F054B">
              <w:rPr>
                <w:rFonts w:cs="Calibri"/>
                <w:color w:val="auto"/>
                <w:sz w:val="24"/>
              </w:rPr>
              <w:t>Assessment derived from third party assessment</w:t>
            </w:r>
          </w:p>
          <w:p w14:paraId="6BA899FC" w14:textId="77777777" w:rsidR="001D5ED9" w:rsidRPr="005F054B" w:rsidRDefault="001D5ED9">
            <w:pPr>
              <w:numPr>
                <w:ilvl w:val="0"/>
                <w:numId w:val="40"/>
              </w:numPr>
              <w:tabs>
                <w:tab w:val="clear" w:pos="567"/>
              </w:tabs>
              <w:spacing w:after="0" w:line="240" w:lineRule="auto"/>
              <w:contextualSpacing/>
              <w:rPr>
                <w:rFonts w:cs="Calibri"/>
                <w:color w:val="auto"/>
                <w:sz w:val="24"/>
              </w:rPr>
            </w:pPr>
            <w:r w:rsidRPr="005F054B">
              <w:rPr>
                <w:rFonts w:cs="Calibri"/>
                <w:color w:val="auto"/>
                <w:sz w:val="24"/>
              </w:rPr>
              <w:t>Assessment derived from a mix of OSPAR data assessment and assessments from third parties</w:t>
            </w:r>
          </w:p>
          <w:p w14:paraId="3E2836E2"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Depending on the parameter, assessment was based upon:</w:t>
            </w:r>
          </w:p>
          <w:p w14:paraId="27CE49F4" w14:textId="77777777" w:rsidR="001D5ED9" w:rsidRPr="005F054B" w:rsidRDefault="001D5ED9">
            <w:pPr>
              <w:numPr>
                <w:ilvl w:val="0"/>
                <w:numId w:val="29"/>
              </w:numPr>
              <w:tabs>
                <w:tab w:val="clear" w:pos="567"/>
              </w:tabs>
              <w:spacing w:after="0" w:line="240" w:lineRule="auto"/>
              <w:contextualSpacing/>
              <w:rPr>
                <w:rFonts w:cs="Calibri"/>
                <w:color w:val="auto"/>
                <w:sz w:val="24"/>
              </w:rPr>
            </w:pPr>
            <w:r w:rsidRPr="005F054B">
              <w:rPr>
                <w:rFonts w:cs="Calibri"/>
                <w:color w:val="auto"/>
                <w:sz w:val="24"/>
              </w:rPr>
              <w:t>complete survey or a statistically robust estimate (e.g. a dedicated mapping or survey or a robust predictive model with representative sample of occurrence data, calibration and satisfactory evaluation of its predictive performance using good data on environmental conditions across entire species range);</w:t>
            </w:r>
          </w:p>
          <w:p w14:paraId="2FF7E4EB" w14:textId="77777777" w:rsidR="001D5ED9" w:rsidRPr="005F054B" w:rsidRDefault="001D5ED9">
            <w:pPr>
              <w:numPr>
                <w:ilvl w:val="0"/>
                <w:numId w:val="29"/>
              </w:numPr>
              <w:tabs>
                <w:tab w:val="clear" w:pos="567"/>
              </w:tabs>
              <w:spacing w:after="0" w:line="240" w:lineRule="auto"/>
              <w:contextualSpacing/>
              <w:rPr>
                <w:rFonts w:cs="Calibri"/>
                <w:color w:val="auto"/>
                <w:sz w:val="24"/>
              </w:rPr>
            </w:pPr>
            <w:r w:rsidRPr="005F054B">
              <w:rPr>
                <w:rFonts w:cs="Calibri"/>
                <w:color w:val="auto"/>
                <w:sz w:val="24"/>
              </w:rPr>
              <w:t>based mainly on extrapolation from a limited amount of data (e.g. other predictive models or extrapolation using less complete sample of occurrence and environmental data);</w:t>
            </w:r>
          </w:p>
          <w:p w14:paraId="5415C597" w14:textId="77777777" w:rsidR="001D5ED9" w:rsidRPr="005F054B" w:rsidRDefault="001D5ED9">
            <w:pPr>
              <w:numPr>
                <w:ilvl w:val="0"/>
                <w:numId w:val="29"/>
              </w:numPr>
              <w:tabs>
                <w:tab w:val="clear" w:pos="567"/>
              </w:tabs>
              <w:spacing w:after="0" w:line="240" w:lineRule="auto"/>
              <w:contextualSpacing/>
              <w:rPr>
                <w:rFonts w:cs="Calibri"/>
                <w:color w:val="auto"/>
                <w:sz w:val="24"/>
              </w:rPr>
            </w:pPr>
            <w:r w:rsidRPr="005F054B">
              <w:rPr>
                <w:rFonts w:cs="Calibri"/>
                <w:color w:val="auto"/>
                <w:sz w:val="24"/>
              </w:rPr>
              <w:t>based mainly on expert opinion with very limited data;</w:t>
            </w:r>
          </w:p>
          <w:p w14:paraId="624A10DD" w14:textId="77777777" w:rsidR="001D5ED9" w:rsidRPr="005F054B" w:rsidRDefault="001D5ED9">
            <w:pPr>
              <w:numPr>
                <w:ilvl w:val="0"/>
                <w:numId w:val="29"/>
              </w:numPr>
              <w:tabs>
                <w:tab w:val="clear" w:pos="567"/>
              </w:tabs>
              <w:spacing w:after="0" w:line="240" w:lineRule="auto"/>
              <w:contextualSpacing/>
              <w:rPr>
                <w:rFonts w:cs="Calibri"/>
                <w:color w:val="auto"/>
                <w:sz w:val="24"/>
              </w:rPr>
            </w:pPr>
            <w:r w:rsidRPr="005F054B">
              <w:rPr>
                <w:rFonts w:cs="Calibri"/>
                <w:color w:val="auto"/>
                <w:sz w:val="24"/>
              </w:rPr>
              <w:t>insufficient or no data available.</w:t>
            </w:r>
          </w:p>
        </w:tc>
      </w:tr>
      <w:tr w:rsidR="001D5ED9" w:rsidRPr="005F054B" w14:paraId="7216857A" w14:textId="77777777">
        <w:trPr>
          <w:trHeight w:val="1108"/>
        </w:trPr>
        <w:tc>
          <w:tcPr>
            <w:tcW w:w="2451" w:type="dxa"/>
            <w:tcBorders>
              <w:top w:val="single" w:sz="4" w:space="0" w:color="auto"/>
              <w:left w:val="nil"/>
              <w:bottom w:val="single" w:sz="4" w:space="0" w:color="auto"/>
              <w:right w:val="nil"/>
            </w:tcBorders>
          </w:tcPr>
          <w:p w14:paraId="1962B017" w14:textId="77777777" w:rsidR="001D5ED9" w:rsidRPr="005F054B" w:rsidRDefault="001D5ED9">
            <w:pPr>
              <w:tabs>
                <w:tab w:val="clear" w:pos="567"/>
              </w:tabs>
              <w:spacing w:line="240" w:lineRule="auto"/>
              <w:rPr>
                <w:rFonts w:cs="Calibri"/>
                <w:color w:val="auto"/>
                <w:sz w:val="24"/>
              </w:rPr>
            </w:pPr>
          </w:p>
        </w:tc>
        <w:tc>
          <w:tcPr>
            <w:tcW w:w="6900" w:type="dxa"/>
            <w:tcBorders>
              <w:top w:val="single" w:sz="4" w:space="0" w:color="auto"/>
              <w:left w:val="nil"/>
              <w:bottom w:val="single" w:sz="4" w:space="0" w:color="auto"/>
              <w:right w:val="nil"/>
            </w:tcBorders>
          </w:tcPr>
          <w:p w14:paraId="7A0A2410" w14:textId="77777777" w:rsidR="001D5ED9" w:rsidRPr="005F054B" w:rsidRDefault="001D5ED9">
            <w:pPr>
              <w:tabs>
                <w:tab w:val="clear" w:pos="567"/>
              </w:tabs>
              <w:spacing w:line="240" w:lineRule="auto"/>
              <w:rPr>
                <w:rFonts w:cs="Calibri"/>
                <w:color w:val="auto"/>
                <w:sz w:val="24"/>
              </w:rPr>
            </w:pPr>
          </w:p>
        </w:tc>
      </w:tr>
      <w:tr w:rsidR="001D5ED9" w:rsidRPr="005F054B" w14:paraId="3D43E1A3" w14:textId="77777777">
        <w:tc>
          <w:tcPr>
            <w:tcW w:w="2451" w:type="dxa"/>
            <w:tcBorders>
              <w:top w:val="single" w:sz="4" w:space="0" w:color="auto"/>
            </w:tcBorders>
            <w:hideMark/>
          </w:tcPr>
          <w:p w14:paraId="650B8956" w14:textId="77777777" w:rsidR="001D5ED9" w:rsidRPr="005F054B" w:rsidRDefault="001D5ED9">
            <w:pPr>
              <w:tabs>
                <w:tab w:val="clear" w:pos="567"/>
              </w:tabs>
              <w:spacing w:line="240" w:lineRule="auto"/>
              <w:jc w:val="center"/>
              <w:rPr>
                <w:b/>
                <w:bCs/>
                <w:color w:val="auto"/>
                <w:sz w:val="24"/>
              </w:rPr>
            </w:pPr>
            <w:r w:rsidRPr="005F054B">
              <w:rPr>
                <w:b/>
                <w:bCs/>
                <w:color w:val="auto"/>
                <w:sz w:val="24"/>
              </w:rPr>
              <w:t>AUDIT TRAIL</w:t>
            </w:r>
          </w:p>
          <w:p w14:paraId="06A0975D" w14:textId="77777777" w:rsidR="001D5ED9" w:rsidRPr="005F054B" w:rsidRDefault="001D5ED9">
            <w:pPr>
              <w:tabs>
                <w:tab w:val="clear" w:pos="567"/>
              </w:tabs>
              <w:spacing w:line="240" w:lineRule="auto"/>
              <w:jc w:val="center"/>
              <w:rPr>
                <w:b/>
                <w:bCs/>
                <w:color w:val="auto"/>
                <w:sz w:val="24"/>
              </w:rPr>
            </w:pPr>
            <w:r w:rsidRPr="005F054B">
              <w:rPr>
                <w:b/>
                <w:bCs/>
                <w:color w:val="auto"/>
                <w:sz w:val="24"/>
              </w:rPr>
              <w:t>(Optional. No word limit)</w:t>
            </w:r>
          </w:p>
        </w:tc>
        <w:tc>
          <w:tcPr>
            <w:tcW w:w="6900" w:type="dxa"/>
            <w:tcBorders>
              <w:top w:val="single" w:sz="4" w:space="0" w:color="auto"/>
            </w:tcBorders>
          </w:tcPr>
          <w:p w14:paraId="59DB8C92" w14:textId="77777777" w:rsidR="001D5ED9" w:rsidRPr="005F054B" w:rsidRDefault="001D5ED9">
            <w:pPr>
              <w:tabs>
                <w:tab w:val="clear" w:pos="567"/>
              </w:tabs>
              <w:spacing w:line="240" w:lineRule="auto"/>
              <w:jc w:val="center"/>
              <w:rPr>
                <w:b/>
                <w:bCs/>
                <w:color w:val="auto"/>
                <w:sz w:val="24"/>
              </w:rPr>
            </w:pPr>
            <w:r w:rsidRPr="005F054B">
              <w:rPr>
                <w:b/>
                <w:bCs/>
                <w:color w:val="auto"/>
                <w:sz w:val="24"/>
              </w:rPr>
              <w:t xml:space="preserve">Additional Evidence and Information </w:t>
            </w:r>
          </w:p>
          <w:p w14:paraId="56ACA94F" w14:textId="77777777" w:rsidR="001D5ED9" w:rsidRPr="005F054B" w:rsidRDefault="001D5ED9">
            <w:pPr>
              <w:tabs>
                <w:tab w:val="clear" w:pos="567"/>
              </w:tabs>
              <w:spacing w:line="240" w:lineRule="auto"/>
              <w:jc w:val="center"/>
              <w:rPr>
                <w:color w:val="auto"/>
                <w:sz w:val="24"/>
              </w:rPr>
            </w:pPr>
            <w:r w:rsidRPr="005F054B">
              <w:rPr>
                <w:color w:val="auto"/>
                <w:sz w:val="24"/>
              </w:rPr>
              <w:t>Please insert below any relevant additional evidence and information that provides essential background and rationale to the assessments above. Include citations of the sources of evidence and information and provide full references in the relevant section below</w:t>
            </w:r>
          </w:p>
          <w:p w14:paraId="38E82799" w14:textId="77777777" w:rsidR="001D5ED9" w:rsidRPr="005F054B" w:rsidRDefault="001D5ED9">
            <w:pPr>
              <w:tabs>
                <w:tab w:val="clear" w:pos="567"/>
              </w:tabs>
              <w:spacing w:line="240" w:lineRule="auto"/>
              <w:jc w:val="center"/>
              <w:rPr>
                <w:color w:val="auto"/>
                <w:sz w:val="24"/>
              </w:rPr>
            </w:pPr>
            <w:r w:rsidRPr="005F054B">
              <w:rPr>
                <w:color w:val="auto"/>
                <w:sz w:val="24"/>
              </w:rPr>
              <w:t>The audit trail is not published as part of the assessment. It is archived for future reference purposes. The assessment in the rows above needs to be written so that it can be read without accessing information in the audit trail.</w:t>
            </w:r>
          </w:p>
        </w:tc>
      </w:tr>
      <w:tr w:rsidR="001D5ED9" w:rsidRPr="005F054B" w14:paraId="5CC75307" w14:textId="77777777">
        <w:tc>
          <w:tcPr>
            <w:tcW w:w="2451" w:type="dxa"/>
            <w:hideMark/>
          </w:tcPr>
          <w:p w14:paraId="703407DF" w14:textId="77777777" w:rsidR="001D5ED9" w:rsidRPr="005F054B" w:rsidRDefault="001D5ED9">
            <w:pPr>
              <w:tabs>
                <w:tab w:val="clear" w:pos="567"/>
              </w:tabs>
              <w:spacing w:line="240" w:lineRule="auto"/>
              <w:rPr>
                <w:color w:val="auto"/>
                <w:sz w:val="24"/>
              </w:rPr>
            </w:pPr>
            <w:r w:rsidRPr="005F054B">
              <w:rPr>
                <w:color w:val="auto"/>
                <w:sz w:val="24"/>
              </w:rPr>
              <w:t>Assessment methods</w:t>
            </w:r>
          </w:p>
          <w:p w14:paraId="171EF82A" w14:textId="77777777" w:rsidR="001D5ED9" w:rsidRPr="005F054B" w:rsidRDefault="001D5ED9">
            <w:pPr>
              <w:tabs>
                <w:tab w:val="clear" w:pos="567"/>
              </w:tabs>
              <w:spacing w:line="240" w:lineRule="auto"/>
              <w:rPr>
                <w:color w:val="auto"/>
                <w:sz w:val="24"/>
              </w:rPr>
            </w:pPr>
            <w:r w:rsidRPr="005F054B">
              <w:rPr>
                <w:color w:val="auto"/>
                <w:sz w:val="24"/>
              </w:rPr>
              <w:t xml:space="preserve">(additional information, </w:t>
            </w:r>
            <w:proofErr w:type="gramStart"/>
            <w:r w:rsidRPr="005F054B">
              <w:rPr>
                <w:color w:val="auto"/>
                <w:sz w:val="24"/>
              </w:rPr>
              <w:t>in particular how</w:t>
            </w:r>
            <w:proofErr w:type="gramEnd"/>
            <w:r w:rsidRPr="005F054B">
              <w:rPr>
                <w:color w:val="auto"/>
                <w:sz w:val="24"/>
              </w:rPr>
              <w:t xml:space="preserve"> the overall assessment in </w:t>
            </w:r>
            <w:r w:rsidRPr="005F054B">
              <w:rPr>
                <w:color w:val="auto"/>
                <w:sz w:val="24"/>
              </w:rPr>
              <w:lastRenderedPageBreak/>
              <w:t>the summary table was reached)</w:t>
            </w:r>
          </w:p>
        </w:tc>
        <w:tc>
          <w:tcPr>
            <w:tcW w:w="6900" w:type="dxa"/>
          </w:tcPr>
          <w:p w14:paraId="1A232A5E" w14:textId="77777777" w:rsidR="001D5ED9" w:rsidRPr="005F054B" w:rsidRDefault="001D5ED9">
            <w:pPr>
              <w:tabs>
                <w:tab w:val="clear" w:pos="567"/>
              </w:tabs>
              <w:contextualSpacing/>
              <w:rPr>
                <w:rFonts w:cs="Calibri"/>
                <w:color w:val="auto"/>
                <w:sz w:val="24"/>
              </w:rPr>
            </w:pPr>
            <w:r w:rsidRPr="005F054B">
              <w:rPr>
                <w:rFonts w:cs="Calibri"/>
                <w:color w:val="auto"/>
                <w:sz w:val="24"/>
              </w:rPr>
              <w:lastRenderedPageBreak/>
              <w:t xml:space="preserve">The current status assessment was based on information from different sources: (1) the International (East Atlantic) Species Action Plan for the Conservation of the roseate tern </w:t>
            </w:r>
            <w:r w:rsidRPr="005F054B">
              <w:rPr>
                <w:rFonts w:cs="Calibri"/>
                <w:i/>
                <w:color w:val="auto"/>
                <w:sz w:val="24"/>
              </w:rPr>
              <w:t>Sterna dougallii</w:t>
            </w:r>
            <w:r w:rsidRPr="005F054B">
              <w:rPr>
                <w:rFonts w:cs="Calibri"/>
                <w:color w:val="auto"/>
                <w:sz w:val="24"/>
              </w:rPr>
              <w:t xml:space="preserve"> (2021-2030), (2) several studies published since the last status assessment, plus previous studies that are still relevant (see list of references </w:t>
            </w:r>
            <w:r w:rsidRPr="005F054B">
              <w:rPr>
                <w:rFonts w:cs="Calibri"/>
                <w:color w:val="auto"/>
                <w:sz w:val="24"/>
              </w:rPr>
              <w:lastRenderedPageBreak/>
              <w:t>below); (3) published technical reports; (4) sparse, non-published information; (5) expert assessment.</w:t>
            </w:r>
          </w:p>
          <w:p w14:paraId="521D1A16" w14:textId="77777777" w:rsidR="001D5ED9" w:rsidRPr="005F054B" w:rsidRDefault="001D5ED9">
            <w:pPr>
              <w:tabs>
                <w:tab w:val="clear" w:pos="567"/>
              </w:tabs>
              <w:contextualSpacing/>
              <w:rPr>
                <w:rFonts w:cs="Calibri"/>
                <w:color w:val="auto"/>
                <w:sz w:val="24"/>
              </w:rPr>
            </w:pPr>
            <w:r w:rsidRPr="005F054B">
              <w:rPr>
                <w:rFonts w:cs="Calibri"/>
                <w:color w:val="auto"/>
                <w:sz w:val="24"/>
              </w:rPr>
              <w:t>The status assessment of population size used data from QSR2023 completed with data available from literature and open databases (e.g. JNCC). Only assessment for population size (B1) for Region II was presented in QSR2023. Most differences between the current assessment and QSR2023 might be related with poor data flows, preventing data to flow into QSR2023. Moreover, Roseate tern was assessed in good status for common indicator of marine bird abundance in Greater North Sea in QSR2023, while in the current assessment was showing a poor status. Differences between 2023 assessment and the current one are most related with the period set as baseline. While in 2023 assessment, baseline was assumed as the period 1991-2000, after the steep declines reported during the 1960’ and 1970’, in the current assessment the baseline was referred to the beginning of the available time series, i.e. 1960-1969. Following OSPAR Agreement 2016-09, baseline should be set as “Historical reference”, reference level or “Start level of time-series”. In our case, the start level of time-series 1960-1969 might be assumed as the population size to be if anthropogenic impacts were negligible.</w:t>
            </w:r>
          </w:p>
          <w:p w14:paraId="417E91D6" w14:textId="77777777" w:rsidR="001D5ED9" w:rsidRPr="005F054B" w:rsidRDefault="001D5ED9">
            <w:pPr>
              <w:tabs>
                <w:tab w:val="clear" w:pos="567"/>
              </w:tabs>
              <w:contextualSpacing/>
              <w:rPr>
                <w:rFonts w:cs="Calibri"/>
                <w:color w:val="auto"/>
                <w:sz w:val="24"/>
              </w:rPr>
            </w:pPr>
            <w:r w:rsidRPr="005F054B">
              <w:rPr>
                <w:rFonts w:cs="Calibri"/>
                <w:color w:val="auto"/>
                <w:sz w:val="24"/>
              </w:rPr>
              <w:t xml:space="preserve">Condition was assessed in QSR2023 for </w:t>
            </w:r>
            <w:proofErr w:type="gramStart"/>
            <w:r w:rsidRPr="005F054B">
              <w:rPr>
                <w:rFonts w:cs="Calibri"/>
                <w:color w:val="auto"/>
                <w:sz w:val="24"/>
              </w:rPr>
              <w:t>none</w:t>
            </w:r>
            <w:proofErr w:type="gramEnd"/>
            <w:r w:rsidRPr="005F054B">
              <w:rPr>
                <w:rFonts w:cs="Calibri"/>
                <w:color w:val="auto"/>
                <w:sz w:val="24"/>
              </w:rPr>
              <w:t xml:space="preserve"> Region which may be related with a </w:t>
            </w:r>
            <w:proofErr w:type="gramStart"/>
            <w:r w:rsidRPr="005F054B">
              <w:rPr>
                <w:rFonts w:cs="Calibri"/>
                <w:color w:val="auto"/>
                <w:sz w:val="24"/>
              </w:rPr>
              <w:t>similar poor data flows</w:t>
            </w:r>
            <w:proofErr w:type="gramEnd"/>
            <w:r w:rsidRPr="005F054B">
              <w:rPr>
                <w:rFonts w:cs="Calibri"/>
                <w:color w:val="auto"/>
                <w:sz w:val="24"/>
              </w:rPr>
              <w:t xml:space="preserve">. </w:t>
            </w:r>
          </w:p>
          <w:p w14:paraId="2FADA266" w14:textId="77777777" w:rsidR="001D5ED9" w:rsidRPr="005F054B" w:rsidRDefault="001D5ED9">
            <w:pPr>
              <w:tabs>
                <w:tab w:val="clear" w:pos="567"/>
              </w:tabs>
              <w:contextualSpacing/>
              <w:rPr>
                <w:rFonts w:cs="Calibri"/>
                <w:color w:val="auto"/>
                <w:sz w:val="24"/>
              </w:rPr>
            </w:pPr>
            <w:r w:rsidRPr="005F054B">
              <w:rPr>
                <w:rFonts w:cs="Calibri"/>
                <w:color w:val="auto"/>
                <w:sz w:val="24"/>
              </w:rPr>
              <w:t>The original evaluation of Roseate tern against the Texel-Faial criteria referred to regional importance, rarity, sensitivity and decline, with information also provided on threat.</w:t>
            </w:r>
          </w:p>
          <w:p w14:paraId="333BECDC" w14:textId="77777777" w:rsidR="001D5ED9" w:rsidRPr="005F054B" w:rsidRDefault="001D5ED9">
            <w:pPr>
              <w:tabs>
                <w:tab w:val="clear" w:pos="567"/>
              </w:tabs>
              <w:contextualSpacing/>
              <w:rPr>
                <w:rFonts w:cs="Calibri"/>
                <w:color w:val="auto"/>
                <w:sz w:val="24"/>
              </w:rPr>
            </w:pPr>
            <w:r w:rsidRPr="005F054B">
              <w:rPr>
                <w:rFonts w:cs="Calibri"/>
                <w:color w:val="auto"/>
                <w:sz w:val="24"/>
              </w:rPr>
              <w:t xml:space="preserve">Regional importance: In the OSPAR Maritime Area, Roseate tern breeds in the Azores, France, Ireland, and the UK. At the time of listing (2003), there were estimated to be 70 pairs in France, 618 pairs in Ireland, and 50 pairs in the United Kingdom. An estimated 379–1,051 pairs nested in the Azores between 1985 and 2000, which represented the bulk of the OSPAR population at that time. </w:t>
            </w:r>
          </w:p>
          <w:p w14:paraId="1CFA8A8B" w14:textId="77777777" w:rsidR="001D5ED9" w:rsidRPr="005F054B" w:rsidRDefault="001D5ED9">
            <w:pPr>
              <w:tabs>
                <w:tab w:val="clear" w:pos="567"/>
              </w:tabs>
              <w:contextualSpacing/>
              <w:rPr>
                <w:rFonts w:cs="Calibri"/>
                <w:color w:val="auto"/>
                <w:sz w:val="24"/>
              </w:rPr>
            </w:pPr>
            <w:r w:rsidRPr="005F054B">
              <w:rPr>
                <w:rFonts w:cs="Calibri"/>
                <w:color w:val="auto"/>
                <w:sz w:val="24"/>
              </w:rPr>
              <w:t>Decline: Within the OSPAR area, long-term declines of Roseate tern have been well documented in Britain, Ireland, and France. For example, the numbers in Britain and Ireland fell by 70–75 % between 1969 and 1985, and annual counts of 1,051, 853, 750, 379 and 547 breeding pairs between 1990-1994, indicated a downward trend in the Azores.</w:t>
            </w:r>
          </w:p>
          <w:p w14:paraId="52A1A912" w14:textId="77777777" w:rsidR="001D5ED9" w:rsidRPr="005F054B" w:rsidRDefault="001D5ED9">
            <w:pPr>
              <w:tabs>
                <w:tab w:val="clear" w:pos="567"/>
              </w:tabs>
              <w:contextualSpacing/>
              <w:rPr>
                <w:rFonts w:cs="Calibri"/>
                <w:color w:val="auto"/>
                <w:sz w:val="24"/>
              </w:rPr>
            </w:pPr>
            <w:r w:rsidRPr="005F054B">
              <w:rPr>
                <w:rFonts w:cs="Calibri"/>
                <w:color w:val="auto"/>
                <w:sz w:val="24"/>
              </w:rPr>
              <w:lastRenderedPageBreak/>
              <w:t>Rarity: At the time of listing, the total breeding population of Roseate tern in the OSPAR Maritime Area was estimated at no more than 1,600 pairs and the species was considered as rare.</w:t>
            </w:r>
          </w:p>
          <w:p w14:paraId="1EE008AF" w14:textId="77777777" w:rsidR="001D5ED9" w:rsidRPr="005F054B" w:rsidRDefault="001D5ED9">
            <w:pPr>
              <w:tabs>
                <w:tab w:val="clear" w:pos="567"/>
              </w:tabs>
              <w:contextualSpacing/>
              <w:rPr>
                <w:rFonts w:cs="Calibri"/>
                <w:color w:val="auto"/>
                <w:sz w:val="24"/>
              </w:rPr>
            </w:pPr>
            <w:r w:rsidRPr="005F054B">
              <w:rPr>
                <w:rFonts w:cs="Calibri"/>
                <w:color w:val="auto"/>
                <w:sz w:val="24"/>
              </w:rPr>
              <w:t>Sensitivity: Roseate tern was listed as sensitive due to their concentration at only few breeding locations, mostly within one biogeographic region.</w:t>
            </w:r>
          </w:p>
          <w:p w14:paraId="13B9DFB1" w14:textId="77777777" w:rsidR="001D5ED9" w:rsidRPr="005F054B" w:rsidRDefault="001D5ED9">
            <w:pPr>
              <w:tabs>
                <w:tab w:val="clear" w:pos="567"/>
              </w:tabs>
              <w:contextualSpacing/>
              <w:rPr>
                <w:rFonts w:cs="Calibri"/>
                <w:color w:val="auto"/>
                <w:sz w:val="24"/>
              </w:rPr>
            </w:pPr>
            <w:r w:rsidRPr="005F054B">
              <w:rPr>
                <w:rFonts w:cs="Calibri"/>
                <w:color w:val="auto"/>
                <w:sz w:val="24"/>
              </w:rPr>
              <w:t>Anthropogenic pressures and biological factors: Roseate tern was considered threatened by trapping of birds on their wintering grounds in West Africa, and predation of birds and/or eggs at the breeding colonies (by foxes, rats, gulls, egg collectors, peregrine falcons, common buzzards and European starlings).</w:t>
            </w:r>
          </w:p>
        </w:tc>
      </w:tr>
      <w:tr w:rsidR="001D5ED9" w:rsidRPr="005F054B" w14:paraId="5D6ADAD4" w14:textId="77777777">
        <w:tc>
          <w:tcPr>
            <w:tcW w:w="2451" w:type="dxa"/>
            <w:hideMark/>
          </w:tcPr>
          <w:p w14:paraId="65C9298E" w14:textId="77777777" w:rsidR="001D5ED9" w:rsidRPr="005F054B" w:rsidRDefault="001D5ED9">
            <w:pPr>
              <w:tabs>
                <w:tab w:val="clear" w:pos="567"/>
              </w:tabs>
              <w:spacing w:line="240" w:lineRule="auto"/>
              <w:rPr>
                <w:color w:val="auto"/>
                <w:sz w:val="24"/>
              </w:rPr>
            </w:pPr>
            <w:r w:rsidRPr="005F054B">
              <w:rPr>
                <w:color w:val="auto"/>
                <w:sz w:val="24"/>
              </w:rPr>
              <w:lastRenderedPageBreak/>
              <w:t>Geographical range and distribution (additional evidence &amp; information)</w:t>
            </w:r>
          </w:p>
        </w:tc>
        <w:tc>
          <w:tcPr>
            <w:tcW w:w="6900" w:type="dxa"/>
          </w:tcPr>
          <w:p w14:paraId="714C09A5"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The species is still confined to a few colonies in OSPAR Regions II, III, IV and V. The historic colonies located in the southern UK coast, Canary Islands and Madeira had shown no breeding attempts, despite the last two falling out of the OSPAR boundaries. Also, the 49 different sites </w:t>
            </w:r>
            <w:proofErr w:type="gramStart"/>
            <w:r w:rsidRPr="005F054B">
              <w:rPr>
                <w:rFonts w:cs="Calibri"/>
                <w:color w:val="auto"/>
                <w:sz w:val="24"/>
              </w:rPr>
              <w:t>know</w:t>
            </w:r>
            <w:proofErr w:type="gramEnd"/>
            <w:r w:rsidRPr="005F054B">
              <w:rPr>
                <w:rFonts w:cs="Calibri"/>
                <w:color w:val="auto"/>
                <w:sz w:val="24"/>
              </w:rPr>
              <w:t xml:space="preserve"> to be used by Azorean Roseate </w:t>
            </w:r>
            <w:proofErr w:type="gramStart"/>
            <w:r w:rsidRPr="005F054B">
              <w:rPr>
                <w:rFonts w:cs="Calibri"/>
                <w:color w:val="auto"/>
                <w:sz w:val="24"/>
              </w:rPr>
              <w:t>terns</w:t>
            </w:r>
            <w:proofErr w:type="gramEnd"/>
            <w:r w:rsidRPr="005F054B">
              <w:rPr>
                <w:rFonts w:cs="Calibri"/>
                <w:color w:val="auto"/>
                <w:sz w:val="24"/>
              </w:rPr>
              <w:t xml:space="preserve"> in the past still </w:t>
            </w:r>
            <w:proofErr w:type="gramStart"/>
            <w:r w:rsidRPr="005F054B">
              <w:rPr>
                <w:rFonts w:cs="Calibri"/>
                <w:color w:val="auto"/>
                <w:sz w:val="24"/>
              </w:rPr>
              <w:t>be shrunk</w:t>
            </w:r>
            <w:proofErr w:type="gramEnd"/>
            <w:r w:rsidRPr="005F054B">
              <w:rPr>
                <w:rFonts w:cs="Calibri"/>
                <w:color w:val="auto"/>
                <w:sz w:val="24"/>
              </w:rPr>
              <w:t xml:space="preserve"> to only 19-27 sites. All OSPAR populations winter outside of OSPAR area, mostly in West Africa and Brazil.</w:t>
            </w:r>
          </w:p>
          <w:p w14:paraId="0D1AEFB6" w14:textId="77777777" w:rsidR="001D5ED9" w:rsidRPr="005F054B" w:rsidRDefault="001D5ED9">
            <w:pPr>
              <w:tabs>
                <w:tab w:val="clear" w:pos="567"/>
              </w:tabs>
              <w:spacing w:line="240" w:lineRule="auto"/>
              <w:rPr>
                <w:color w:val="auto"/>
                <w:sz w:val="24"/>
              </w:rPr>
            </w:pPr>
          </w:p>
        </w:tc>
      </w:tr>
      <w:tr w:rsidR="001D5ED9" w:rsidRPr="005F054B" w14:paraId="3267F438" w14:textId="77777777">
        <w:tc>
          <w:tcPr>
            <w:tcW w:w="2451" w:type="dxa"/>
            <w:hideMark/>
          </w:tcPr>
          <w:p w14:paraId="6759DC51" w14:textId="77777777" w:rsidR="001D5ED9" w:rsidRPr="005F054B" w:rsidRDefault="001D5ED9">
            <w:pPr>
              <w:tabs>
                <w:tab w:val="clear" w:pos="567"/>
              </w:tabs>
              <w:spacing w:line="240" w:lineRule="auto"/>
              <w:rPr>
                <w:color w:val="auto"/>
                <w:sz w:val="24"/>
              </w:rPr>
            </w:pPr>
            <w:r w:rsidRPr="005F054B">
              <w:rPr>
                <w:color w:val="auto"/>
                <w:sz w:val="24"/>
              </w:rPr>
              <w:t>Population/abundance (species)</w:t>
            </w:r>
          </w:p>
          <w:p w14:paraId="7D65FF71" w14:textId="77777777" w:rsidR="001D5ED9" w:rsidRPr="005F054B" w:rsidRDefault="001D5ED9">
            <w:pPr>
              <w:tabs>
                <w:tab w:val="clear" w:pos="567"/>
              </w:tabs>
              <w:spacing w:line="240" w:lineRule="auto"/>
              <w:rPr>
                <w:color w:val="auto"/>
                <w:sz w:val="24"/>
              </w:rPr>
            </w:pPr>
            <w:r w:rsidRPr="005F054B">
              <w:rPr>
                <w:color w:val="auto"/>
                <w:sz w:val="24"/>
              </w:rPr>
              <w:t>(additional evidence &amp; information)</w:t>
            </w:r>
          </w:p>
        </w:tc>
        <w:tc>
          <w:tcPr>
            <w:tcW w:w="6900" w:type="dxa"/>
          </w:tcPr>
          <w:p w14:paraId="4D058118" w14:textId="77777777" w:rsidR="001D5ED9" w:rsidRPr="005F054B" w:rsidRDefault="001D5ED9">
            <w:pPr>
              <w:tabs>
                <w:tab w:val="clear" w:pos="567"/>
              </w:tabs>
              <w:spacing w:after="0" w:line="240" w:lineRule="auto"/>
              <w:jc w:val="left"/>
              <w:rPr>
                <w:rFonts w:cs="Calibri"/>
                <w:color w:val="auto"/>
                <w:sz w:val="24"/>
              </w:rPr>
            </w:pPr>
            <w:r w:rsidRPr="005F054B">
              <w:rPr>
                <w:rFonts w:cs="Calibri"/>
                <w:color w:val="auto"/>
                <w:sz w:val="24"/>
              </w:rPr>
              <w:t>The abundance of breeding populations of Roseate tern was assessed using the common indicator of marine bird abundance described by Dierschke et al (2022).</w:t>
            </w:r>
          </w:p>
          <w:p w14:paraId="6736570C" w14:textId="77777777" w:rsidR="001D5ED9" w:rsidRPr="005F054B" w:rsidRDefault="001D5ED9">
            <w:pPr>
              <w:tabs>
                <w:tab w:val="clear" w:pos="567"/>
              </w:tabs>
              <w:spacing w:after="0" w:line="240" w:lineRule="auto"/>
              <w:jc w:val="left"/>
              <w:rPr>
                <w:rFonts w:cs="Calibri"/>
                <w:color w:val="auto"/>
                <w:sz w:val="24"/>
              </w:rPr>
            </w:pPr>
            <w:r w:rsidRPr="005F054B">
              <w:rPr>
                <w:rFonts w:cs="Calibri"/>
                <w:color w:val="auto"/>
                <w:sz w:val="24"/>
              </w:rPr>
              <w:t>Trends in relative abundance (Figure 2) show that there have been substantial declines in breeding numbers of Roseate tern since the baseline in 1960-1969 in the Greater North Sea and in the Celtic seas, and 1984-1993 in Wider Atlantic, which had already been identified when this species was added to the T&amp;D list or in the background document (OSPAR, 2009). Conversely, Roseate tern was assessed in good status for common indicator of marine bird abundance in Greater North Sea in QSR2023 (OSPAR 2023). Differences between 2023 assessment and the current one are most related with the period set as baseline. While in 2023 assessment, baseline was assumed as the period 1991-2000, after the steep declines reported during the 1960’ and 1970’, in the current assessment the baseline was referred to the beginning of the available time series, i.e. 1960-1969.</w:t>
            </w:r>
          </w:p>
          <w:p w14:paraId="2AB665B1" w14:textId="77777777" w:rsidR="001D5ED9" w:rsidRPr="005F054B" w:rsidRDefault="001D5ED9">
            <w:pPr>
              <w:tabs>
                <w:tab w:val="clear" w:pos="567"/>
              </w:tabs>
              <w:spacing w:after="0" w:line="240" w:lineRule="auto"/>
              <w:jc w:val="left"/>
              <w:rPr>
                <w:color w:val="auto"/>
                <w:sz w:val="24"/>
              </w:rPr>
            </w:pPr>
          </w:p>
        </w:tc>
      </w:tr>
      <w:tr w:rsidR="001D5ED9" w:rsidRPr="005F054B" w14:paraId="15F36D0C" w14:textId="77777777">
        <w:tc>
          <w:tcPr>
            <w:tcW w:w="2451" w:type="dxa"/>
            <w:hideMark/>
          </w:tcPr>
          <w:p w14:paraId="5910D5AB" w14:textId="77777777" w:rsidR="001D5ED9" w:rsidRPr="005F054B" w:rsidRDefault="001D5ED9">
            <w:pPr>
              <w:tabs>
                <w:tab w:val="clear" w:pos="567"/>
              </w:tabs>
              <w:spacing w:line="240" w:lineRule="auto"/>
              <w:rPr>
                <w:color w:val="auto"/>
                <w:sz w:val="24"/>
              </w:rPr>
            </w:pPr>
            <w:r w:rsidRPr="005F054B">
              <w:rPr>
                <w:color w:val="auto"/>
                <w:sz w:val="24"/>
              </w:rPr>
              <w:t xml:space="preserve">Condition </w:t>
            </w:r>
          </w:p>
          <w:p w14:paraId="75E1EC57" w14:textId="77777777" w:rsidR="001D5ED9" w:rsidRPr="005F054B" w:rsidRDefault="001D5ED9">
            <w:pPr>
              <w:tabs>
                <w:tab w:val="clear" w:pos="567"/>
              </w:tabs>
              <w:spacing w:line="240" w:lineRule="auto"/>
              <w:rPr>
                <w:color w:val="auto"/>
                <w:sz w:val="24"/>
              </w:rPr>
            </w:pPr>
            <w:r w:rsidRPr="005F054B">
              <w:rPr>
                <w:color w:val="auto"/>
                <w:sz w:val="24"/>
              </w:rPr>
              <w:t>(additional evidence &amp; information)</w:t>
            </w:r>
          </w:p>
        </w:tc>
        <w:tc>
          <w:tcPr>
            <w:tcW w:w="6900" w:type="dxa"/>
          </w:tcPr>
          <w:p w14:paraId="7734C308"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The condition of breeding populations of Roseate tern was assessed using the common indicator of marine bird breeding productivity, following Frederiksen et al (2022). The assessment presented in QSR2023 (OSPAR 2023) only for Region II was </w:t>
            </w:r>
            <w:proofErr w:type="gramStart"/>
            <w:r w:rsidRPr="005F054B">
              <w:rPr>
                <w:rFonts w:cs="Calibri"/>
                <w:color w:val="auto"/>
                <w:sz w:val="24"/>
              </w:rPr>
              <w:t>reran</w:t>
            </w:r>
            <w:proofErr w:type="gramEnd"/>
            <w:r w:rsidRPr="005F054B">
              <w:rPr>
                <w:rFonts w:cs="Calibri"/>
                <w:color w:val="auto"/>
                <w:sz w:val="24"/>
              </w:rPr>
              <w:t xml:space="preserve"> after adding data </w:t>
            </w:r>
            <w:r w:rsidRPr="005F054B">
              <w:rPr>
                <w:rFonts w:cs="Calibri"/>
                <w:color w:val="auto"/>
                <w:sz w:val="24"/>
              </w:rPr>
              <w:lastRenderedPageBreak/>
              <w:t>from Piec (2021). While the assessment for Region III was based only in data from Piec (2021).</w:t>
            </w:r>
          </w:p>
          <w:p w14:paraId="3E2B0CCE" w14:textId="572ABB65" w:rsidR="001D5ED9" w:rsidRPr="005F054B" w:rsidRDefault="001D5ED9">
            <w:pPr>
              <w:tabs>
                <w:tab w:val="clear" w:pos="567"/>
              </w:tabs>
              <w:spacing w:after="0" w:line="240" w:lineRule="auto"/>
              <w:rPr>
                <w:rFonts w:cs="Calibri"/>
                <w:color w:val="auto"/>
                <w:sz w:val="24"/>
              </w:rPr>
            </w:pPr>
            <w:r w:rsidRPr="005F054B">
              <w:rPr>
                <w:rFonts w:cs="Calibri"/>
                <w:color w:val="auto"/>
                <w:sz w:val="24"/>
              </w:rPr>
              <w:t xml:space="preserve">The expected annual population growth rate based in demographic data from 11 colonies of Roseate tern in Region II was above the threshold value of 0.992 (Figure 3a). The indicator value at 1.057 for 2020 corresponded to an expected population size increase of 5.7% per year. In the case of Region III, the expected annual population growth rate based in demographic data from 10 colonies of Roseate tern was also above the threshold (Figure 3B). The indicator value at 1.089 for 2020 corresponded to an expected </w:t>
            </w:r>
            <w:proofErr w:type="gramStart"/>
            <w:r w:rsidRPr="005F054B">
              <w:rPr>
                <w:rFonts w:cs="Calibri"/>
                <w:color w:val="auto"/>
                <w:sz w:val="24"/>
              </w:rPr>
              <w:t>population size</w:t>
            </w:r>
            <w:proofErr w:type="gramEnd"/>
            <w:r w:rsidRPr="005F054B">
              <w:rPr>
                <w:rFonts w:cs="Calibri"/>
                <w:color w:val="auto"/>
                <w:sz w:val="24"/>
              </w:rPr>
              <w:t xml:space="preserve"> increase of 8.9% per year.</w:t>
            </w:r>
          </w:p>
          <w:p w14:paraId="14972144" w14:textId="1D63FB6B" w:rsidR="001D5ED9" w:rsidRPr="005F054B" w:rsidRDefault="001D5ED9">
            <w:pPr>
              <w:tabs>
                <w:tab w:val="clear" w:pos="567"/>
              </w:tabs>
              <w:spacing w:after="0" w:line="240" w:lineRule="auto"/>
              <w:rPr>
                <w:rFonts w:cs="Calibri"/>
                <w:color w:val="auto"/>
                <w:sz w:val="24"/>
              </w:rPr>
            </w:pPr>
            <w:r w:rsidRPr="005F054B">
              <w:rPr>
                <w:rFonts w:cs="Calibri"/>
                <w:color w:val="auto"/>
                <w:sz w:val="24"/>
              </w:rPr>
              <w:t xml:space="preserve">Despite the relatively stable trend of the single colony located in Region IV (Ile aux Moutons, France), it showed low breeding productivities, varying from 0.19 to 0.98 between 2015 and 2022 (MacLeod-Nolan 2023, Piec &amp; Dunn 2021). </w:t>
            </w:r>
          </w:p>
          <w:p w14:paraId="36FFFF57" w14:textId="356D803E" w:rsidR="001D5ED9" w:rsidRPr="001537C0" w:rsidRDefault="001D5ED9" w:rsidP="001537C0">
            <w:pPr>
              <w:tabs>
                <w:tab w:val="clear" w:pos="567"/>
              </w:tabs>
              <w:spacing w:after="0" w:line="240" w:lineRule="auto"/>
              <w:rPr>
                <w:rFonts w:cs="Calibri"/>
                <w:color w:val="auto"/>
                <w:sz w:val="24"/>
              </w:rPr>
            </w:pPr>
            <w:r w:rsidRPr="005F054B">
              <w:rPr>
                <w:rFonts w:cs="Calibri"/>
                <w:color w:val="auto"/>
                <w:sz w:val="24"/>
              </w:rPr>
              <w:t>In the case of Region V, productivity in the Azores was infrequently monitored during the last decades. The fates of 165 and 45 clutches were monitored in 2002 and 2003, with an estimated productivity at 0.42 and 0.17 fledglings per pair, respectively.</w:t>
            </w:r>
          </w:p>
        </w:tc>
      </w:tr>
      <w:tr w:rsidR="001D5ED9" w:rsidRPr="005F054B" w14:paraId="71C39F44" w14:textId="77777777">
        <w:tc>
          <w:tcPr>
            <w:tcW w:w="2451" w:type="dxa"/>
            <w:hideMark/>
          </w:tcPr>
          <w:p w14:paraId="36AB20EE" w14:textId="77777777" w:rsidR="001D5ED9" w:rsidRPr="005F054B" w:rsidRDefault="001D5ED9">
            <w:pPr>
              <w:tabs>
                <w:tab w:val="clear" w:pos="567"/>
              </w:tabs>
              <w:spacing w:line="240" w:lineRule="auto"/>
              <w:rPr>
                <w:color w:val="auto"/>
                <w:sz w:val="24"/>
              </w:rPr>
            </w:pPr>
            <w:r w:rsidRPr="005F054B">
              <w:rPr>
                <w:color w:val="auto"/>
                <w:sz w:val="24"/>
              </w:rPr>
              <w:lastRenderedPageBreak/>
              <w:t>Threats and impacts</w:t>
            </w:r>
          </w:p>
          <w:p w14:paraId="5E1B0D72" w14:textId="77777777" w:rsidR="001D5ED9" w:rsidRPr="005F054B" w:rsidRDefault="001D5ED9">
            <w:pPr>
              <w:tabs>
                <w:tab w:val="clear" w:pos="567"/>
              </w:tabs>
              <w:spacing w:line="240" w:lineRule="auto"/>
              <w:rPr>
                <w:color w:val="auto"/>
                <w:sz w:val="24"/>
              </w:rPr>
            </w:pPr>
            <w:r w:rsidRPr="005F054B">
              <w:rPr>
                <w:color w:val="auto"/>
                <w:sz w:val="24"/>
              </w:rPr>
              <w:t>(additional evidence &amp; information)</w:t>
            </w:r>
          </w:p>
        </w:tc>
        <w:tc>
          <w:tcPr>
            <w:tcW w:w="6900" w:type="dxa"/>
          </w:tcPr>
          <w:p w14:paraId="4EDFB717"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An extensive analysis of threats and impacts in Roseate tern was updated by Piec &amp; Dunn (2021), where three threats with high level of impact had been identified, namely predation and displacement by large gulls, by native mammals and by non-indigenous species. Those threats showed a significant effect on the breeding productivity of Roseate terns. </w:t>
            </w:r>
          </w:p>
          <w:p w14:paraId="777FBDAD"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Threats from predation and displacement by large gulls remain one of the biggest challenges for most of the Roseate tern colonies in all concerned OSPAR regions. Nesting areas for terns without any gull management are usually quickly occupied by breeding gulls as they start to breed earlier than terns, are larger and more aggressive, resulting in high loss of tern eggs and/or chicks and adult abandonment. Moreover, the deteriorating conservation status of the Herring gull and Lesser black-backed gull in the UK prohibits large scale eradication projects. Instead, displacement techniques are used before the tern breeding season. Some management examples proved terns can coexist with large gulls.</w:t>
            </w:r>
          </w:p>
          <w:p w14:paraId="7A9C8B42"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Threats from predation by native mammals occur in colonies located on inshore islands, resulting in significant losses of clutches and adults. Periodically, protective measures were implemented.</w:t>
            </w:r>
          </w:p>
          <w:p w14:paraId="62975517" w14:textId="77777777" w:rsidR="001D5ED9" w:rsidRPr="005F054B" w:rsidRDefault="001D5ED9">
            <w:pPr>
              <w:tabs>
                <w:tab w:val="clear" w:pos="567"/>
              </w:tabs>
              <w:spacing w:after="0" w:line="240" w:lineRule="auto"/>
              <w:rPr>
                <w:rFonts w:cs="Calibri"/>
                <w:color w:val="auto"/>
                <w:sz w:val="24"/>
              </w:rPr>
            </w:pPr>
            <w:r w:rsidRPr="005F054B">
              <w:rPr>
                <w:rFonts w:cs="Calibri"/>
                <w:color w:val="auto"/>
                <w:sz w:val="24"/>
              </w:rPr>
              <w:t xml:space="preserve">Threats from introduction or spread of non-indigenous species are occasionally expected at tern colonies. Important improvements have been done regarding the protection of tern colonies against </w:t>
            </w:r>
            <w:r w:rsidRPr="005F054B">
              <w:rPr>
                <w:rFonts w:cs="Calibri"/>
                <w:color w:val="auto"/>
                <w:sz w:val="24"/>
              </w:rPr>
              <w:lastRenderedPageBreak/>
              <w:t>non-indigenous species, mostly due to the implementation of control campaigns, biosecurity plans and monitoring.</w:t>
            </w:r>
          </w:p>
          <w:p w14:paraId="62A845C5" w14:textId="77777777" w:rsidR="001D5ED9" w:rsidRPr="005F054B" w:rsidRDefault="001D5ED9">
            <w:pPr>
              <w:tabs>
                <w:tab w:val="clear" w:pos="567"/>
              </w:tabs>
              <w:spacing w:after="0" w:line="240" w:lineRule="auto"/>
              <w:rPr>
                <w:rFonts w:cs="Calibri"/>
                <w:color w:val="auto"/>
                <w:sz w:val="24"/>
              </w:rPr>
            </w:pPr>
            <w:r w:rsidRPr="005F054B">
              <w:rPr>
                <w:rFonts w:cs="Calibri"/>
                <w:color w:val="auto"/>
                <w:sz w:val="24"/>
              </w:rPr>
              <w:t xml:space="preserve">Threats from removal of target </w:t>
            </w:r>
            <w:proofErr w:type="gramStart"/>
            <w:r w:rsidRPr="005F054B">
              <w:rPr>
                <w:rFonts w:cs="Calibri"/>
                <w:color w:val="auto"/>
                <w:sz w:val="24"/>
              </w:rPr>
              <w:t>species</w:t>
            </w:r>
            <w:proofErr w:type="gramEnd"/>
            <w:r w:rsidRPr="005F054B">
              <w:rPr>
                <w:rFonts w:cs="Calibri"/>
                <w:color w:val="auto"/>
                <w:sz w:val="24"/>
              </w:rPr>
              <w:t xml:space="preserve"> namely through trapping of adult </w:t>
            </w:r>
            <w:proofErr w:type="gramStart"/>
            <w:r w:rsidRPr="005F054B">
              <w:rPr>
                <w:rFonts w:cs="Calibri"/>
                <w:color w:val="auto"/>
                <w:sz w:val="24"/>
              </w:rPr>
              <w:t>terns</w:t>
            </w:r>
            <w:proofErr w:type="gramEnd"/>
            <w:r w:rsidRPr="005F054B">
              <w:rPr>
                <w:rFonts w:cs="Calibri"/>
                <w:color w:val="auto"/>
                <w:sz w:val="24"/>
              </w:rPr>
              <w:t xml:space="preserve"> in wintering areas still occur, which mostly affect bird survival. Although at a lesser extent and magnitude as reported in the past, tern trapping continues in Ghana </w:t>
            </w:r>
            <w:proofErr w:type="gramStart"/>
            <w:r w:rsidRPr="005F054B">
              <w:rPr>
                <w:rFonts w:cs="Calibri"/>
                <w:color w:val="auto"/>
                <w:sz w:val="24"/>
              </w:rPr>
              <w:t>and also</w:t>
            </w:r>
            <w:proofErr w:type="gramEnd"/>
            <w:r w:rsidRPr="005F054B">
              <w:rPr>
                <w:rFonts w:cs="Calibri"/>
                <w:color w:val="auto"/>
                <w:sz w:val="24"/>
              </w:rPr>
              <w:t xml:space="preserve"> other coastal countries throughout West Africa (Quartey et al. 2018). </w:t>
            </w:r>
          </w:p>
          <w:p w14:paraId="6C897E6A" w14:textId="77777777" w:rsidR="001D5ED9" w:rsidRPr="005F054B" w:rsidRDefault="001D5ED9">
            <w:pPr>
              <w:tabs>
                <w:tab w:val="clear" w:pos="567"/>
              </w:tabs>
              <w:spacing w:line="240" w:lineRule="auto"/>
              <w:rPr>
                <w:color w:val="auto"/>
                <w:sz w:val="24"/>
              </w:rPr>
            </w:pPr>
            <w:r w:rsidRPr="005F054B">
              <w:rPr>
                <w:rFonts w:cs="Calibri"/>
                <w:color w:val="auto"/>
                <w:sz w:val="24"/>
              </w:rPr>
              <w:t xml:space="preserve">Other threats, with medium level impact, are still present since last assessment, namely predation by bird species other than large gulls, visual disturbance due to uncontrolled access, egg collecting, </w:t>
            </w:r>
            <w:r w:rsidRPr="005F054B">
              <w:rPr>
                <w:color w:val="auto"/>
                <w:sz w:val="24"/>
              </w:rPr>
              <w:t>extreme weather events</w:t>
            </w:r>
            <w:r w:rsidRPr="005F054B">
              <w:rPr>
                <w:rFonts w:cs="Calibri"/>
                <w:color w:val="auto"/>
                <w:sz w:val="24"/>
              </w:rPr>
              <w:t xml:space="preserve">, </w:t>
            </w:r>
            <w:r w:rsidRPr="005F054B">
              <w:rPr>
                <w:color w:val="auto"/>
                <w:sz w:val="24"/>
              </w:rPr>
              <w:t>loss of nesting sites due to coastal change, long-term impacts of climate-driven environmental change,</w:t>
            </w:r>
            <w:r w:rsidRPr="005F054B">
              <w:rPr>
                <w:rFonts w:cs="Calibri"/>
                <w:color w:val="auto"/>
                <w:sz w:val="24"/>
              </w:rPr>
              <w:t xml:space="preserve"> shortages of food,  development of offshore windfarms, overfishing and climate change impacts on cold water upwelling systems (Piec &amp; Dunn 2021).</w:t>
            </w:r>
          </w:p>
        </w:tc>
      </w:tr>
      <w:tr w:rsidR="001D5ED9" w:rsidRPr="005F054B" w14:paraId="687D4F3D" w14:textId="77777777">
        <w:tc>
          <w:tcPr>
            <w:tcW w:w="2451" w:type="dxa"/>
            <w:hideMark/>
          </w:tcPr>
          <w:p w14:paraId="78C1F028" w14:textId="77777777" w:rsidR="001D5ED9" w:rsidRPr="005F054B" w:rsidRDefault="001D5ED9">
            <w:pPr>
              <w:tabs>
                <w:tab w:val="clear" w:pos="567"/>
              </w:tabs>
              <w:spacing w:line="240" w:lineRule="auto"/>
              <w:rPr>
                <w:color w:val="auto"/>
                <w:sz w:val="24"/>
              </w:rPr>
            </w:pPr>
            <w:r w:rsidRPr="005F054B">
              <w:rPr>
                <w:color w:val="auto"/>
                <w:sz w:val="24"/>
              </w:rPr>
              <w:lastRenderedPageBreak/>
              <w:t>Measures that address key pressures from human activities or conserve the species/habitat</w:t>
            </w:r>
          </w:p>
          <w:p w14:paraId="4327237F" w14:textId="77777777" w:rsidR="001D5ED9" w:rsidRPr="005F054B" w:rsidRDefault="001D5ED9">
            <w:pPr>
              <w:tabs>
                <w:tab w:val="clear" w:pos="567"/>
              </w:tabs>
              <w:spacing w:line="240" w:lineRule="auto"/>
              <w:rPr>
                <w:color w:val="auto"/>
                <w:sz w:val="24"/>
              </w:rPr>
            </w:pPr>
            <w:r w:rsidRPr="005F054B">
              <w:rPr>
                <w:color w:val="auto"/>
                <w:sz w:val="24"/>
              </w:rPr>
              <w:t>(additional information)</w:t>
            </w:r>
          </w:p>
        </w:tc>
        <w:tc>
          <w:tcPr>
            <w:tcW w:w="6900" w:type="dxa"/>
          </w:tcPr>
          <w:p w14:paraId="4F898771" w14:textId="77777777" w:rsidR="001D5ED9" w:rsidRPr="005F054B" w:rsidRDefault="001D5ED9">
            <w:pPr>
              <w:tabs>
                <w:tab w:val="clear" w:pos="567"/>
              </w:tabs>
              <w:spacing w:line="240" w:lineRule="auto"/>
              <w:rPr>
                <w:color w:val="auto"/>
                <w:sz w:val="24"/>
              </w:rPr>
            </w:pPr>
            <w:r w:rsidRPr="005F054B">
              <w:rPr>
                <w:color w:val="auto"/>
                <w:sz w:val="24"/>
              </w:rPr>
              <w:t xml:space="preserve">Several measures were included in the </w:t>
            </w:r>
            <w:proofErr w:type="gramStart"/>
            <w:r w:rsidRPr="005F054B">
              <w:rPr>
                <w:color w:val="auto"/>
                <w:sz w:val="24"/>
              </w:rPr>
              <w:t>Roadmap</w:t>
            </w:r>
            <w:proofErr w:type="gramEnd"/>
            <w:r w:rsidRPr="005F054B">
              <w:rPr>
                <w:color w:val="auto"/>
                <w:sz w:val="24"/>
              </w:rPr>
              <w:t xml:space="preserve"> for the implementation of collective actions within the Recommendations for the protection and conservation of OSPAR listed Species and Habitats (2017-2025) which will benefit Roseate tern:</w:t>
            </w:r>
          </w:p>
          <w:p w14:paraId="6A1DDEC1" w14:textId="77777777" w:rsidR="001D5ED9" w:rsidRPr="005F054B" w:rsidRDefault="001D5ED9">
            <w:pPr>
              <w:numPr>
                <w:ilvl w:val="0"/>
                <w:numId w:val="41"/>
              </w:numPr>
              <w:tabs>
                <w:tab w:val="clear" w:pos="567"/>
              </w:tabs>
              <w:spacing w:after="0" w:line="240" w:lineRule="auto"/>
              <w:contextualSpacing/>
              <w:rPr>
                <w:color w:val="auto"/>
                <w:sz w:val="24"/>
                <w:lang w:eastAsia="en-GB"/>
              </w:rPr>
            </w:pPr>
            <w:proofErr w:type="gramStart"/>
            <w:r w:rsidRPr="005F054B">
              <w:rPr>
                <w:color w:val="auto"/>
                <w:sz w:val="24"/>
                <w:lang w:eastAsia="en-GB"/>
              </w:rPr>
              <w:t>Building on</w:t>
            </w:r>
            <w:proofErr w:type="gramEnd"/>
            <w:r w:rsidRPr="005F054B">
              <w:rPr>
                <w:color w:val="auto"/>
                <w:sz w:val="24"/>
                <w:lang w:eastAsia="en-GB"/>
              </w:rPr>
              <w:t xml:space="preserve"> existing material (e.g. OSPAR website) </w:t>
            </w:r>
            <w:proofErr w:type="gramStart"/>
            <w:r w:rsidRPr="005F054B">
              <w:rPr>
                <w:color w:val="auto"/>
                <w:sz w:val="24"/>
                <w:lang w:eastAsia="en-GB"/>
              </w:rPr>
              <w:t>develop</w:t>
            </w:r>
            <w:proofErr w:type="gramEnd"/>
            <w:r w:rsidRPr="005F054B">
              <w:rPr>
                <w:color w:val="auto"/>
                <w:sz w:val="24"/>
                <w:lang w:eastAsia="en-GB"/>
              </w:rPr>
              <w:t xml:space="preserve"> and </w:t>
            </w:r>
            <w:proofErr w:type="gramStart"/>
            <w:r w:rsidRPr="005F054B">
              <w:rPr>
                <w:color w:val="auto"/>
                <w:sz w:val="24"/>
                <w:lang w:eastAsia="en-GB"/>
              </w:rPr>
              <w:t>implement</w:t>
            </w:r>
            <w:proofErr w:type="gramEnd"/>
            <w:r w:rsidRPr="005F054B">
              <w:rPr>
                <w:color w:val="auto"/>
                <w:sz w:val="24"/>
                <w:lang w:eastAsia="en-GB"/>
              </w:rPr>
              <w:t xml:space="preserve"> a phased communications strategy for OSPAR listed species and habitats to: Share knowledge including on status and threats to help promote action by others; Share knowledge and experience on measures that have been implemented and lessons learned, among both relevant management authorities and </w:t>
            </w:r>
            <w:proofErr w:type="gramStart"/>
            <w:r w:rsidRPr="005F054B">
              <w:rPr>
                <w:color w:val="auto"/>
                <w:sz w:val="24"/>
                <w:lang w:eastAsia="en-GB"/>
              </w:rPr>
              <w:t>general public</w:t>
            </w:r>
            <w:proofErr w:type="gramEnd"/>
            <w:r w:rsidRPr="005F054B">
              <w:rPr>
                <w:color w:val="auto"/>
                <w:sz w:val="24"/>
                <w:lang w:eastAsia="en-GB"/>
              </w:rPr>
              <w:t xml:space="preserve"> (Action 1);</w:t>
            </w:r>
          </w:p>
          <w:p w14:paraId="16F770C0" w14:textId="77777777" w:rsidR="001D5ED9" w:rsidRPr="005F054B" w:rsidRDefault="001D5ED9">
            <w:pPr>
              <w:numPr>
                <w:ilvl w:val="0"/>
                <w:numId w:val="41"/>
              </w:numPr>
              <w:tabs>
                <w:tab w:val="clear" w:pos="567"/>
              </w:tabs>
              <w:spacing w:after="0" w:line="240" w:lineRule="auto"/>
              <w:contextualSpacing/>
              <w:rPr>
                <w:color w:val="auto"/>
                <w:sz w:val="24"/>
                <w:lang w:eastAsia="en-GB"/>
              </w:rPr>
            </w:pPr>
            <w:r w:rsidRPr="005F054B">
              <w:rPr>
                <w:color w:val="auto"/>
                <w:sz w:val="24"/>
                <w:lang w:eastAsia="en-GB"/>
              </w:rPr>
              <w:t xml:space="preserve">Develop and implement a monitoring strategy, as part of the JAMP, leading to </w:t>
            </w:r>
            <w:proofErr w:type="gramStart"/>
            <w:r w:rsidRPr="005F054B">
              <w:rPr>
                <w:color w:val="auto"/>
                <w:sz w:val="24"/>
                <w:lang w:eastAsia="en-GB"/>
              </w:rPr>
              <w:t>the periodic</w:t>
            </w:r>
            <w:proofErr w:type="gramEnd"/>
            <w:r w:rsidRPr="005F054B">
              <w:rPr>
                <w:color w:val="auto"/>
                <w:sz w:val="24"/>
                <w:lang w:eastAsia="en-GB"/>
              </w:rPr>
              <w:t xml:space="preserve"> assessment of the status of species, to promote and coordinate the collection of information on distribution, status of, threats to and impacts on the species, using as appropriate information from other competent authorities (Action 5);</w:t>
            </w:r>
          </w:p>
          <w:p w14:paraId="2DAD3909" w14:textId="77777777" w:rsidR="001D5ED9" w:rsidRPr="005F054B" w:rsidRDefault="001D5ED9">
            <w:pPr>
              <w:numPr>
                <w:ilvl w:val="0"/>
                <w:numId w:val="41"/>
              </w:numPr>
              <w:tabs>
                <w:tab w:val="clear" w:pos="567"/>
              </w:tabs>
              <w:spacing w:after="0" w:line="240" w:lineRule="auto"/>
              <w:contextualSpacing/>
              <w:rPr>
                <w:color w:val="auto"/>
                <w:sz w:val="24"/>
                <w:lang w:eastAsia="en-GB"/>
              </w:rPr>
            </w:pPr>
            <w:r w:rsidRPr="005F054B">
              <w:rPr>
                <w:color w:val="auto"/>
                <w:sz w:val="24"/>
                <w:lang w:eastAsia="en-GB"/>
              </w:rPr>
              <w:t>Strengthening regional collaboration on data collection and management for seven of the listed species by establishing a joint working group with ICES that brings together expertise and information from the North Atlantic (including Baltic Sea), thus creating a stronger evidence base for informing responses (Action 36);</w:t>
            </w:r>
          </w:p>
          <w:p w14:paraId="6971EC74" w14:textId="77777777" w:rsidR="001D5ED9" w:rsidRPr="005F054B" w:rsidRDefault="001D5ED9">
            <w:pPr>
              <w:numPr>
                <w:ilvl w:val="0"/>
                <w:numId w:val="41"/>
              </w:numPr>
              <w:tabs>
                <w:tab w:val="clear" w:pos="567"/>
              </w:tabs>
              <w:spacing w:after="0" w:line="240" w:lineRule="auto"/>
              <w:contextualSpacing/>
              <w:rPr>
                <w:color w:val="auto"/>
                <w:sz w:val="24"/>
                <w:lang w:eastAsia="en-GB"/>
              </w:rPr>
            </w:pPr>
            <w:r w:rsidRPr="005F054B">
              <w:rPr>
                <w:color w:val="auto"/>
                <w:sz w:val="24"/>
                <w:lang w:eastAsia="en-GB"/>
              </w:rPr>
              <w:t>Bring to the attention of relevant competent authorities the status of and threats, and the need for further research and data collection (Action 37);</w:t>
            </w:r>
          </w:p>
          <w:p w14:paraId="52890458" w14:textId="77777777" w:rsidR="001D5ED9" w:rsidRPr="005F054B" w:rsidRDefault="001D5ED9">
            <w:pPr>
              <w:numPr>
                <w:ilvl w:val="0"/>
                <w:numId w:val="41"/>
              </w:numPr>
              <w:tabs>
                <w:tab w:val="clear" w:pos="567"/>
              </w:tabs>
              <w:spacing w:after="0" w:line="240" w:lineRule="auto"/>
              <w:contextualSpacing/>
              <w:rPr>
                <w:color w:val="auto"/>
                <w:sz w:val="24"/>
                <w:lang w:eastAsia="en-GB"/>
              </w:rPr>
            </w:pPr>
            <w:r w:rsidRPr="005F054B">
              <w:rPr>
                <w:color w:val="auto"/>
                <w:sz w:val="24"/>
                <w:lang w:eastAsia="en-GB"/>
              </w:rPr>
              <w:t>Establishment of an expert group for the roseate tern to enhance knowledge exchange and improve the evidence base to support further action (action 41).</w:t>
            </w:r>
          </w:p>
          <w:p w14:paraId="6D787484" w14:textId="77777777" w:rsidR="001D5ED9" w:rsidRPr="005F054B" w:rsidRDefault="001D5ED9">
            <w:pPr>
              <w:numPr>
                <w:ilvl w:val="0"/>
                <w:numId w:val="41"/>
              </w:numPr>
              <w:tabs>
                <w:tab w:val="clear" w:pos="567"/>
              </w:tabs>
              <w:spacing w:after="0" w:line="240" w:lineRule="auto"/>
              <w:contextualSpacing/>
              <w:rPr>
                <w:color w:val="auto"/>
                <w:sz w:val="24"/>
                <w:lang w:eastAsia="en-GB"/>
              </w:rPr>
            </w:pPr>
            <w:r w:rsidRPr="005F054B">
              <w:rPr>
                <w:color w:val="auto"/>
                <w:sz w:val="24"/>
                <w:lang w:eastAsia="en-GB"/>
              </w:rPr>
              <w:lastRenderedPageBreak/>
              <w:t>Promote implementation of the European Commission Species Action Plan for the species (Action 43).</w:t>
            </w:r>
          </w:p>
          <w:p w14:paraId="411ACFE8"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Moreover, to provide safe nesting conditions at large Common tern colonies in preparation for the expansion of Roseate Tern was also identified as a priority measure (Piec &amp; Dunn 2021).</w:t>
            </w:r>
          </w:p>
          <w:p w14:paraId="3CA6DD1C" w14:textId="77777777" w:rsidR="001D5ED9" w:rsidRPr="005F054B" w:rsidRDefault="001D5ED9">
            <w:pPr>
              <w:tabs>
                <w:tab w:val="clear" w:pos="567"/>
              </w:tabs>
              <w:spacing w:line="240" w:lineRule="auto"/>
              <w:rPr>
                <w:color w:val="auto"/>
                <w:sz w:val="24"/>
              </w:rPr>
            </w:pPr>
            <w:r w:rsidRPr="005F054B">
              <w:rPr>
                <w:rFonts w:cs="Calibri"/>
                <w:color w:val="auto"/>
                <w:sz w:val="24"/>
              </w:rPr>
              <w:t xml:space="preserve">Recently, </w:t>
            </w:r>
            <w:r w:rsidRPr="005F054B">
              <w:rPr>
                <w:rFonts w:cs="Calibri"/>
                <w:iCs/>
                <w:color w:val="auto"/>
                <w:sz w:val="24"/>
              </w:rPr>
              <w:t>23 MPAs were identified as protecting Roseate tern is OSPAR area, namely 7 in Region II, 5 in Region III, 5 in Region IV and 5 in Region V (Hennicke et al 2022). Although some of those MPA hold no colonies nowadays (Regions II and III) there is a potential for terns to return breeding there. The 5 MPAs identified in Region IV may have included some areas used during migration. Finally, in Region V there is a significant higher number of MPAs, than previously identified (5 MPAs) where Roseate tern breeds (Equipa Atlas 2022).</w:t>
            </w:r>
          </w:p>
        </w:tc>
      </w:tr>
      <w:tr w:rsidR="001D5ED9" w:rsidRPr="005F054B" w14:paraId="76F582DF" w14:textId="77777777">
        <w:tc>
          <w:tcPr>
            <w:tcW w:w="2451" w:type="dxa"/>
            <w:hideMark/>
          </w:tcPr>
          <w:p w14:paraId="2A55CFB9" w14:textId="77777777" w:rsidR="001D5ED9" w:rsidRPr="005F054B" w:rsidRDefault="001D5ED9">
            <w:pPr>
              <w:tabs>
                <w:tab w:val="clear" w:pos="567"/>
              </w:tabs>
              <w:spacing w:line="240" w:lineRule="auto"/>
              <w:rPr>
                <w:color w:val="auto"/>
                <w:sz w:val="24"/>
              </w:rPr>
            </w:pPr>
            <w:r w:rsidRPr="005F054B">
              <w:rPr>
                <w:color w:val="auto"/>
                <w:sz w:val="24"/>
              </w:rPr>
              <w:lastRenderedPageBreak/>
              <w:t>Knowledge gaps (additional information)</w:t>
            </w:r>
          </w:p>
        </w:tc>
        <w:tc>
          <w:tcPr>
            <w:tcW w:w="6900" w:type="dxa"/>
          </w:tcPr>
          <w:p w14:paraId="390EA9A6" w14:textId="77777777" w:rsidR="001D5ED9" w:rsidRPr="005F054B" w:rsidRDefault="001D5ED9">
            <w:pPr>
              <w:tabs>
                <w:tab w:val="clear" w:pos="567"/>
              </w:tabs>
              <w:spacing w:line="240" w:lineRule="auto"/>
              <w:rPr>
                <w:color w:val="auto"/>
                <w:sz w:val="24"/>
              </w:rPr>
            </w:pPr>
            <w:r w:rsidRPr="005F054B">
              <w:rPr>
                <w:color w:val="auto"/>
                <w:sz w:val="24"/>
              </w:rPr>
              <w:t>An extensive analysis on the limitations and knowledge gaps with implication on Roseate tern conservation was recently performed by Piec &amp; Dunn (2021) for the East Atlantic, which overlaps OSPAR area. Those limitations included:</w:t>
            </w:r>
          </w:p>
          <w:p w14:paraId="028F1D0D" w14:textId="77777777" w:rsidR="001D5ED9" w:rsidRPr="005F054B" w:rsidRDefault="001D5ED9" w:rsidP="001D5ED9">
            <w:pPr>
              <w:numPr>
                <w:ilvl w:val="0"/>
                <w:numId w:val="47"/>
              </w:numPr>
              <w:tabs>
                <w:tab w:val="clear" w:pos="567"/>
              </w:tabs>
              <w:spacing w:after="0" w:line="240" w:lineRule="auto"/>
              <w:contextualSpacing/>
              <w:rPr>
                <w:color w:val="auto"/>
                <w:sz w:val="24"/>
                <w:lang w:eastAsia="en-GB"/>
              </w:rPr>
            </w:pPr>
            <w:r w:rsidRPr="005F054B">
              <w:rPr>
                <w:color w:val="auto"/>
                <w:sz w:val="24"/>
                <w:lang w:eastAsia="en-GB"/>
              </w:rPr>
              <w:t>Lack of standardisation and sufficient quality of monitoring data to inform metapopulation management, mostly related with Region V, but at a lower extension also to Regions II, III and IV;</w:t>
            </w:r>
          </w:p>
          <w:p w14:paraId="475A23BC" w14:textId="77777777" w:rsidR="001D5ED9" w:rsidRPr="005F054B" w:rsidRDefault="001D5ED9" w:rsidP="001D5ED9">
            <w:pPr>
              <w:numPr>
                <w:ilvl w:val="0"/>
                <w:numId w:val="47"/>
              </w:numPr>
              <w:tabs>
                <w:tab w:val="clear" w:pos="567"/>
              </w:tabs>
              <w:spacing w:after="0" w:line="240" w:lineRule="auto"/>
              <w:contextualSpacing/>
              <w:rPr>
                <w:color w:val="auto"/>
                <w:sz w:val="24"/>
                <w:lang w:eastAsia="en-GB"/>
              </w:rPr>
            </w:pPr>
            <w:r w:rsidRPr="005F054B">
              <w:rPr>
                <w:color w:val="auto"/>
                <w:sz w:val="24"/>
                <w:lang w:eastAsia="en-GB"/>
              </w:rPr>
              <w:t>Lack of knowledge on the scale and extent of disturbance at the staging sites in Region III;</w:t>
            </w:r>
          </w:p>
          <w:p w14:paraId="6819BCFC" w14:textId="77777777" w:rsidR="001D5ED9" w:rsidRPr="005F054B" w:rsidRDefault="001D5ED9" w:rsidP="001D5ED9">
            <w:pPr>
              <w:numPr>
                <w:ilvl w:val="0"/>
                <w:numId w:val="47"/>
              </w:numPr>
              <w:tabs>
                <w:tab w:val="clear" w:pos="567"/>
              </w:tabs>
              <w:spacing w:after="0" w:line="240" w:lineRule="auto"/>
              <w:contextualSpacing/>
              <w:rPr>
                <w:color w:val="auto"/>
                <w:sz w:val="24"/>
                <w:lang w:eastAsia="en-GB"/>
              </w:rPr>
            </w:pPr>
            <w:r w:rsidRPr="005F054B">
              <w:rPr>
                <w:color w:val="auto"/>
                <w:sz w:val="24"/>
                <w:lang w:eastAsia="en-GB"/>
              </w:rPr>
              <w:t>Deficiency of data for adequate determination of roseate tern conservation status in Europe, mostly in OSPAR area, arises from a poor knowledge of phylogeny and gene flow rates between NW Europe, Azores and NE America;</w:t>
            </w:r>
          </w:p>
          <w:p w14:paraId="3E7410A6" w14:textId="77777777" w:rsidR="001D5ED9" w:rsidRPr="005F054B" w:rsidRDefault="001D5ED9" w:rsidP="001D5ED9">
            <w:pPr>
              <w:numPr>
                <w:ilvl w:val="0"/>
                <w:numId w:val="47"/>
              </w:numPr>
              <w:tabs>
                <w:tab w:val="clear" w:pos="567"/>
              </w:tabs>
              <w:spacing w:after="0" w:line="240" w:lineRule="auto"/>
              <w:contextualSpacing/>
              <w:rPr>
                <w:color w:val="auto"/>
                <w:sz w:val="24"/>
                <w:lang w:eastAsia="en-GB"/>
              </w:rPr>
            </w:pPr>
            <w:r w:rsidRPr="005F054B">
              <w:rPr>
                <w:color w:val="auto"/>
                <w:sz w:val="24"/>
                <w:lang w:eastAsia="en-GB"/>
              </w:rPr>
              <w:t>Limited exchange of knowledge and cooperation at the regional and international level impedes the collation of standardized data at the regional level required to assess the performance of the common tern colonies within the target areas for roseate tern colonization;</w:t>
            </w:r>
          </w:p>
          <w:p w14:paraId="05AF88E0" w14:textId="77777777" w:rsidR="001D5ED9" w:rsidRPr="005F054B" w:rsidRDefault="001D5ED9" w:rsidP="001D5ED9">
            <w:pPr>
              <w:numPr>
                <w:ilvl w:val="0"/>
                <w:numId w:val="47"/>
              </w:numPr>
              <w:tabs>
                <w:tab w:val="clear" w:pos="567"/>
              </w:tabs>
              <w:spacing w:after="0" w:line="240" w:lineRule="auto"/>
              <w:contextualSpacing/>
              <w:rPr>
                <w:color w:val="auto"/>
                <w:sz w:val="24"/>
                <w:lang w:eastAsia="en-GB"/>
              </w:rPr>
            </w:pPr>
            <w:r w:rsidRPr="005F054B">
              <w:rPr>
                <w:color w:val="auto"/>
                <w:sz w:val="24"/>
                <w:lang w:eastAsia="en-GB"/>
              </w:rPr>
              <w:t xml:space="preserve">Lack of awareness of the threats to coastal and marine environments induced by climate change and human disturbance amongst the public </w:t>
            </w:r>
            <w:proofErr w:type="gramStart"/>
            <w:r w:rsidRPr="005F054B">
              <w:rPr>
                <w:color w:val="auto"/>
                <w:sz w:val="24"/>
                <w:lang w:eastAsia="en-GB"/>
              </w:rPr>
              <w:t>puts</w:t>
            </w:r>
            <w:proofErr w:type="gramEnd"/>
            <w:r w:rsidRPr="005F054B">
              <w:rPr>
                <w:color w:val="auto"/>
                <w:sz w:val="24"/>
                <w:lang w:eastAsia="en-GB"/>
              </w:rPr>
              <w:t xml:space="preserve"> additional pressures on the colonies already affected by coastal squeeze deriving from rising sea levels;</w:t>
            </w:r>
          </w:p>
          <w:p w14:paraId="3A22A150" w14:textId="77777777" w:rsidR="001D5ED9" w:rsidRPr="005F054B" w:rsidRDefault="001D5ED9" w:rsidP="001D5ED9">
            <w:pPr>
              <w:numPr>
                <w:ilvl w:val="0"/>
                <w:numId w:val="47"/>
              </w:numPr>
              <w:tabs>
                <w:tab w:val="clear" w:pos="567"/>
              </w:tabs>
              <w:spacing w:after="0" w:line="240" w:lineRule="auto"/>
              <w:contextualSpacing/>
              <w:rPr>
                <w:color w:val="auto"/>
                <w:sz w:val="24"/>
                <w:lang w:eastAsia="en-GB"/>
              </w:rPr>
            </w:pPr>
            <w:r w:rsidRPr="005F054B">
              <w:rPr>
                <w:color w:val="auto"/>
                <w:sz w:val="24"/>
                <w:lang w:eastAsia="en-GB"/>
              </w:rPr>
              <w:t>Possible lack of coordination on the implementation and review process of the International Specie Action Plan which may arrive from low commitment of partners and stakeholders;</w:t>
            </w:r>
          </w:p>
          <w:p w14:paraId="5D934CC8" w14:textId="77777777" w:rsidR="001D5ED9" w:rsidRPr="005F054B" w:rsidRDefault="001D5ED9" w:rsidP="001D5ED9">
            <w:pPr>
              <w:numPr>
                <w:ilvl w:val="0"/>
                <w:numId w:val="47"/>
              </w:numPr>
              <w:tabs>
                <w:tab w:val="clear" w:pos="567"/>
              </w:tabs>
              <w:spacing w:after="0" w:line="240" w:lineRule="auto"/>
              <w:contextualSpacing/>
              <w:rPr>
                <w:color w:val="auto"/>
                <w:sz w:val="24"/>
                <w:lang w:eastAsia="en-GB"/>
              </w:rPr>
            </w:pPr>
            <w:r w:rsidRPr="005F054B">
              <w:rPr>
                <w:color w:val="auto"/>
                <w:sz w:val="24"/>
                <w:lang w:eastAsia="en-GB"/>
              </w:rPr>
              <w:t xml:space="preserve">Outside breeding season, Roseate terns rely on coastal wetlands and salt pans for roosting and resting especially in Ghana. However, ring recoveries and a recent tracking study </w:t>
            </w:r>
            <w:r w:rsidRPr="005F054B">
              <w:rPr>
                <w:color w:val="auto"/>
                <w:sz w:val="24"/>
                <w:lang w:eastAsia="en-GB"/>
              </w:rPr>
              <w:lastRenderedPageBreak/>
              <w:t>highlight also the importance of Ivory Coast, Liberia and Sierra Leone for wintering, and Senegal and Mauritania during migration (Redfern et al. 2021). There is a need to identify and assess the conservation status, threats and condition of key coastal sites in these countries through collaboration with local partners. There is also limited information on threats along the north-east coast of South America, where a proportion of the Azorean population spends the winter (Hays et al. 2002).</w:t>
            </w:r>
          </w:p>
        </w:tc>
      </w:tr>
      <w:tr w:rsidR="001D5ED9" w:rsidRPr="001605BE" w14:paraId="73BF822C" w14:textId="77777777">
        <w:tc>
          <w:tcPr>
            <w:tcW w:w="2451" w:type="dxa"/>
            <w:hideMark/>
          </w:tcPr>
          <w:p w14:paraId="43AAACA2" w14:textId="77777777" w:rsidR="001D5ED9" w:rsidRPr="005F054B" w:rsidRDefault="001D5ED9">
            <w:pPr>
              <w:tabs>
                <w:tab w:val="clear" w:pos="567"/>
              </w:tabs>
              <w:spacing w:line="240" w:lineRule="auto"/>
              <w:rPr>
                <w:color w:val="auto"/>
                <w:sz w:val="24"/>
              </w:rPr>
            </w:pPr>
            <w:r w:rsidRPr="005F054B">
              <w:rPr>
                <w:color w:val="auto"/>
                <w:sz w:val="24"/>
              </w:rPr>
              <w:lastRenderedPageBreak/>
              <w:t xml:space="preserve">References </w:t>
            </w:r>
          </w:p>
        </w:tc>
        <w:tc>
          <w:tcPr>
            <w:tcW w:w="6900" w:type="dxa"/>
          </w:tcPr>
          <w:p w14:paraId="05AD9401"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Cabot, D. 1996. Performance of the Roseate Tern Population Breeding in North-West Europe: Ireland, Britain and France, 1960-94. Biology and Environment: Proceedings of the Royal Irish Academy, 96B (2), 55-68.</w:t>
            </w:r>
          </w:p>
          <w:p w14:paraId="6F1392F9" w14:textId="77777777" w:rsidR="001D5ED9" w:rsidRPr="005F054B" w:rsidRDefault="001D5ED9">
            <w:pPr>
              <w:tabs>
                <w:tab w:val="clear" w:pos="567"/>
              </w:tabs>
              <w:spacing w:line="240" w:lineRule="auto"/>
              <w:rPr>
                <w:rFonts w:cs="Calibri"/>
                <w:color w:val="auto"/>
                <w:sz w:val="24"/>
              </w:rPr>
            </w:pPr>
            <w:r w:rsidRPr="001537C0">
              <w:rPr>
                <w:rFonts w:cs="Calibri"/>
                <w:color w:val="auto"/>
                <w:sz w:val="24"/>
                <w:lang w:val="fr-FR"/>
              </w:rPr>
              <w:t xml:space="preserve">Dierschke, V., Marra, S., Parsons, M., Fusi, M., French, G. 2022. </w:t>
            </w:r>
            <w:r w:rsidRPr="005F054B">
              <w:rPr>
                <w:rFonts w:cs="Calibri"/>
                <w:color w:val="auto"/>
                <w:sz w:val="24"/>
              </w:rPr>
              <w:t xml:space="preserve">Marine Bird Abundance. In: OSPAR, 2023: The 2023 Quality Status Report for the North-East Atlantic. OSPAR Commission, London. Available at: </w:t>
            </w:r>
            <w:hyperlink r:id="rId20" w:history="1">
              <w:r w:rsidRPr="005F054B">
                <w:rPr>
                  <w:rFonts w:cs="Calibri"/>
                  <w:color w:val="0563C1"/>
                  <w:sz w:val="24"/>
                  <w:u w:val="single"/>
                </w:rPr>
                <w:t>https://oap.ospar.org/en/ospar-assessments/quality-status-reports/qsr-2023/indicator-assessments/marine-bird-abundance</w:t>
              </w:r>
            </w:hyperlink>
          </w:p>
          <w:p w14:paraId="5CFA4587" w14:textId="77777777" w:rsidR="001D5ED9" w:rsidRPr="0022187E" w:rsidRDefault="001D5ED9">
            <w:pPr>
              <w:tabs>
                <w:tab w:val="clear" w:pos="567"/>
              </w:tabs>
              <w:spacing w:line="240" w:lineRule="auto"/>
              <w:rPr>
                <w:rFonts w:cs="Calibri"/>
                <w:color w:val="auto"/>
                <w:sz w:val="24"/>
                <w:lang w:val="pt-PT"/>
              </w:rPr>
            </w:pPr>
            <w:r w:rsidRPr="005F054B">
              <w:rPr>
                <w:rFonts w:cs="Calibri"/>
                <w:color w:val="auto"/>
                <w:sz w:val="24"/>
                <w:lang w:val="pt-PT"/>
              </w:rPr>
              <w:t xml:space="preserve">Equipa Atlas (2022). III Atlas das Aves Nidificantes de Portugal (2016-2021). </w:t>
            </w:r>
            <w:r w:rsidRPr="0022187E">
              <w:rPr>
                <w:rFonts w:cs="Calibri"/>
                <w:color w:val="auto"/>
                <w:sz w:val="24"/>
                <w:lang w:val="pt-PT"/>
              </w:rPr>
              <w:t>SPEA, ICNF, LabOr/UÉ, IFCN. Portugal.</w:t>
            </w:r>
          </w:p>
          <w:p w14:paraId="084A3B9D" w14:textId="77777777" w:rsidR="001D5ED9" w:rsidRPr="005F054B" w:rsidRDefault="001D5ED9">
            <w:pPr>
              <w:tabs>
                <w:tab w:val="clear" w:pos="567"/>
              </w:tabs>
              <w:spacing w:line="240" w:lineRule="auto"/>
              <w:rPr>
                <w:rFonts w:cs="Calibri"/>
                <w:color w:val="auto"/>
                <w:sz w:val="24"/>
              </w:rPr>
            </w:pPr>
            <w:r w:rsidRPr="0022187E">
              <w:rPr>
                <w:rFonts w:cs="Calibri"/>
                <w:color w:val="auto"/>
                <w:sz w:val="24"/>
                <w:lang w:val="pt-PT"/>
              </w:rPr>
              <w:t xml:space="preserve">Frederiksen, M., Dierschke, V., Marra, S., Parsons, M., French, G., Fusi, M., Schekkerman, H., Anker-Nilssen, T., Mitchell, I. 2022. </w:t>
            </w:r>
            <w:r w:rsidRPr="005F054B">
              <w:rPr>
                <w:rFonts w:cs="Calibri"/>
                <w:color w:val="auto"/>
                <w:sz w:val="24"/>
              </w:rPr>
              <w:t xml:space="preserve">Marine Bird Breeding Productivity. In: OSPAR (2023): The 2023 Quality Status Report for the Northeast Atlantic. OSPAR Commission, London. Available at: </w:t>
            </w:r>
            <w:hyperlink r:id="rId21" w:history="1">
              <w:r w:rsidRPr="005F054B">
                <w:rPr>
                  <w:rFonts w:cs="Calibri"/>
                  <w:color w:val="0563C1"/>
                  <w:sz w:val="24"/>
                  <w:u w:val="single"/>
                </w:rPr>
                <w:t>https://oap.ospar.org/en/ospar-assessments/quality-status-reports/qsr-2023/indicator-assessments/marine-bird-breeding-productivity/</w:t>
              </w:r>
            </w:hyperlink>
          </w:p>
          <w:p w14:paraId="22DDBB45"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Hays, H., Neves, V. &amp; Lima, P. 2002. Banded Roseate Terns from different continents trapped in the Azores. J. Field Ornithology 73(2): 180–184.</w:t>
            </w:r>
          </w:p>
          <w:p w14:paraId="2F66199D" w14:textId="02388329"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Hennicke, J., Blanchard, S., Chaniotis, P., Cornick, L., Hauswirth, M., Schellekens, T., Vonk, S., and Werner, T. 2022. Report and assessment of the status of the OSPAR network of Marine Protected Areas in 2021. In: OSPAR, 2023: The 2023 Quality Status Report for the North-East Atlantic. OSPAR Commission, London. Available at: </w:t>
            </w:r>
            <w:hyperlink r:id="rId22" w:history="1">
              <w:r w:rsidR="00D2687C" w:rsidRPr="00ED1EE9">
                <w:rPr>
                  <w:rStyle w:val="Hyperlink"/>
                  <w:rFonts w:cs="Calibri"/>
                  <w:sz w:val="24"/>
                </w:rPr>
                <w:t>https://oap.ospar.org/en/ospar-assessments/committee-assessments/biodiversity-committee/status-ospar-network-marine-protected-areas/assessment-reports-mpa/mpa-2021</w:t>
              </w:r>
            </w:hyperlink>
            <w:r w:rsidR="00D2687C">
              <w:rPr>
                <w:rFonts w:cs="Calibri"/>
                <w:color w:val="auto"/>
                <w:sz w:val="24"/>
              </w:rPr>
              <w:t xml:space="preserve"> </w:t>
            </w:r>
          </w:p>
          <w:p w14:paraId="7AF163D0"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JNCC. 2021. Seabird Population Trends and Causes of Change: 1986–2019 Report (https://jncc.gov.uk/our-work/smp-report-1986-2019). </w:t>
            </w:r>
            <w:r w:rsidRPr="005F054B">
              <w:rPr>
                <w:rFonts w:cs="Calibri"/>
                <w:color w:val="auto"/>
                <w:sz w:val="24"/>
              </w:rPr>
              <w:lastRenderedPageBreak/>
              <w:t>Joint Nature Conservation Committee, Peterborough. Updated 20 May 2021.</w:t>
            </w:r>
          </w:p>
          <w:p w14:paraId="198F2338"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MacLeod-Nolan, C. 2023. Annual Roseate Tern Newsletter 2022. Royal Society for the Protection of Birds (RSPB).</w:t>
            </w:r>
          </w:p>
          <w:p w14:paraId="2346CA2D"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 xml:space="preserve">Mitchell, P.I., Newton, S.F., Ratcliffe, N. &amp; Dunn, T.E. 2000. Joint Nature Conservation Committee, Peterborough, UK. </w:t>
            </w:r>
            <w:hyperlink r:id="rId23" w:history="1">
              <w:r w:rsidRPr="005F054B">
                <w:rPr>
                  <w:rFonts w:cs="Calibri"/>
                  <w:color w:val="0563C1"/>
                  <w:sz w:val="24"/>
                  <w:u w:val="single"/>
                </w:rPr>
                <w:t>https://doi.org/10.15468/ibm5hb</w:t>
              </w:r>
            </w:hyperlink>
          </w:p>
          <w:p w14:paraId="6DC6E7FA" w14:textId="57C18552" w:rsidR="001D5ED9" w:rsidRPr="001605BE" w:rsidRDefault="001D5ED9">
            <w:pPr>
              <w:tabs>
                <w:tab w:val="clear" w:pos="567"/>
              </w:tabs>
              <w:spacing w:line="240" w:lineRule="auto"/>
              <w:rPr>
                <w:rFonts w:cs="Calibri"/>
                <w:color w:val="auto"/>
                <w:sz w:val="24"/>
                <w:lang w:val="fr-FR"/>
              </w:rPr>
            </w:pPr>
            <w:r w:rsidRPr="005F054B">
              <w:rPr>
                <w:rFonts w:cs="Calibri"/>
                <w:color w:val="auto"/>
                <w:sz w:val="24"/>
              </w:rPr>
              <w:t xml:space="preserve">OSPAR. 2008. Case Reports for the OSPAR List of Threatened and/or Declining Species and Habitats: </w:t>
            </w:r>
            <w:r w:rsidRPr="005F054B">
              <w:rPr>
                <w:rFonts w:cs="Calibri"/>
                <w:i/>
                <w:color w:val="auto"/>
                <w:sz w:val="24"/>
              </w:rPr>
              <w:t>Sterna dougallii</w:t>
            </w:r>
            <w:r w:rsidRPr="005F054B">
              <w:rPr>
                <w:rFonts w:cs="Calibri"/>
                <w:color w:val="auto"/>
                <w:sz w:val="24"/>
              </w:rPr>
              <w:t xml:space="preserve"> – Roseate tern. </w:t>
            </w:r>
            <w:hyperlink r:id="rId24" w:history="1">
              <w:r w:rsidR="00D2687C" w:rsidRPr="001605BE">
                <w:rPr>
                  <w:rStyle w:val="Hyperlink"/>
                  <w:rFonts w:cs="Calibri"/>
                  <w:sz w:val="24"/>
                  <w:lang w:val="fr-FR"/>
                </w:rPr>
                <w:t>https://www.ospar.org/site/assets/files/44255/roseate_tern.pdf</w:t>
              </w:r>
            </w:hyperlink>
            <w:r w:rsidR="00D2687C" w:rsidRPr="001605BE">
              <w:rPr>
                <w:rFonts w:cs="Calibri"/>
                <w:color w:val="auto"/>
                <w:sz w:val="24"/>
                <w:lang w:val="fr-FR"/>
              </w:rPr>
              <w:t xml:space="preserve"> </w:t>
            </w:r>
          </w:p>
          <w:p w14:paraId="02BE548A" w14:textId="77777777" w:rsidR="001D5ED9" w:rsidRPr="005F054B" w:rsidRDefault="001D5ED9">
            <w:pPr>
              <w:tabs>
                <w:tab w:val="clear" w:pos="567"/>
              </w:tabs>
              <w:spacing w:line="240" w:lineRule="auto"/>
              <w:rPr>
                <w:rFonts w:cs="Calibri"/>
                <w:color w:val="auto"/>
                <w:sz w:val="24"/>
              </w:rPr>
            </w:pPr>
            <w:r w:rsidRPr="001605BE">
              <w:rPr>
                <w:rFonts w:cs="Calibri"/>
                <w:color w:val="auto"/>
                <w:sz w:val="24"/>
                <w:lang w:val="fr-FR"/>
              </w:rPr>
              <w:t xml:space="preserve">OSPAR. </w:t>
            </w:r>
            <w:r w:rsidRPr="005F054B">
              <w:rPr>
                <w:rFonts w:cs="Calibri"/>
                <w:color w:val="auto"/>
                <w:sz w:val="24"/>
              </w:rPr>
              <w:t xml:space="preserve">2009. Background document for Roseate tern </w:t>
            </w:r>
            <w:r w:rsidRPr="005F054B">
              <w:rPr>
                <w:rFonts w:cs="Calibri"/>
                <w:i/>
                <w:color w:val="auto"/>
                <w:sz w:val="24"/>
              </w:rPr>
              <w:t>Sterna dougallii</w:t>
            </w:r>
            <w:r w:rsidRPr="005F054B">
              <w:rPr>
                <w:rFonts w:cs="Calibri"/>
                <w:color w:val="auto"/>
                <w:sz w:val="24"/>
              </w:rPr>
              <w:t xml:space="preserve">.  </w:t>
            </w:r>
          </w:p>
          <w:p w14:paraId="5ABDE934"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OSPAR. 2023. The 2023 Quality Status Report for the Northeast Atlantic. OSPAR Commission, London.</w:t>
            </w:r>
          </w:p>
          <w:p w14:paraId="42A85D23"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Piec, D. 2021. Improving the conservation prospects of the priority species roseate tern throughout its range in the UK and Ireland. After-LIFE Conservation Plan. Developed under the framework of the Roseate Tern LIFE Project (LIFE14 NAT/UK/000394). European Commission 2021.</w:t>
            </w:r>
          </w:p>
          <w:p w14:paraId="5009F21D"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Piec, D. &amp; Dunn, E.K. 2021. International (East Atlantic) Species Action Plan for the Conservation of the roseate tern Sterna dougallii (2021-2030). Developed under the framework of the Roseate Tern LIFE Project (LIFE14 NAT/UK/000394). European Commission 2021.</w:t>
            </w:r>
          </w:p>
          <w:p w14:paraId="289A19AE" w14:textId="77777777" w:rsidR="001D5ED9" w:rsidRPr="005F054B" w:rsidRDefault="001D5ED9">
            <w:pPr>
              <w:tabs>
                <w:tab w:val="clear" w:pos="567"/>
              </w:tabs>
              <w:spacing w:line="240" w:lineRule="auto"/>
              <w:rPr>
                <w:rFonts w:cs="Calibri"/>
                <w:color w:val="auto"/>
                <w:sz w:val="24"/>
              </w:rPr>
            </w:pPr>
            <w:r w:rsidRPr="005F054B">
              <w:rPr>
                <w:rFonts w:cs="Calibri"/>
                <w:color w:val="auto"/>
                <w:sz w:val="24"/>
              </w:rPr>
              <w:t>Quartey, J., Nuoh, A., Taye, E. &amp; Ntiamoa-Baidu, Y. 2018. Assessment of the wintering population, conservation requirements and priority actions for Roseate tern (</w:t>
            </w:r>
            <w:r w:rsidRPr="005F054B">
              <w:rPr>
                <w:rFonts w:cs="Calibri"/>
                <w:i/>
                <w:color w:val="auto"/>
                <w:sz w:val="24"/>
              </w:rPr>
              <w:t>Sterna dougallii</w:t>
            </w:r>
            <w:r w:rsidRPr="005F054B">
              <w:rPr>
                <w:rFonts w:cs="Calibri"/>
                <w:color w:val="auto"/>
                <w:sz w:val="24"/>
              </w:rPr>
              <w:t xml:space="preserve">) in Ghana. Centre for African Wetlands. Report for LIFE14 NAT/UK/000394 Project. </w:t>
            </w:r>
            <w:hyperlink r:id="rId25" w:history="1">
              <w:r w:rsidRPr="005F054B">
                <w:rPr>
                  <w:rFonts w:cs="Calibri"/>
                  <w:color w:val="0563C1"/>
                  <w:sz w:val="24"/>
                  <w:u w:val="single"/>
                </w:rPr>
                <w:t>http://roseatetern.org/uploads/3/5/8/0/35804201/caw_-rspb_roseate_project-final_report-_version_nov_14-_2019.pdf</w:t>
              </w:r>
            </w:hyperlink>
            <w:r w:rsidRPr="005F054B">
              <w:rPr>
                <w:rFonts w:cs="Calibri"/>
                <w:color w:val="auto"/>
                <w:sz w:val="24"/>
              </w:rPr>
              <w:t xml:space="preserve">. </w:t>
            </w:r>
          </w:p>
          <w:p w14:paraId="3AD7E534" w14:textId="77777777" w:rsidR="001D5ED9" w:rsidRPr="005F054B" w:rsidRDefault="001D5ED9">
            <w:pPr>
              <w:tabs>
                <w:tab w:val="clear" w:pos="567"/>
              </w:tabs>
              <w:spacing w:line="240" w:lineRule="auto"/>
              <w:rPr>
                <w:rFonts w:cs="Calibri"/>
                <w:color w:val="auto"/>
                <w:sz w:val="24"/>
                <w:lang w:val="pt-PT"/>
              </w:rPr>
            </w:pPr>
            <w:r w:rsidRPr="005F054B">
              <w:rPr>
                <w:rFonts w:cs="Calibri"/>
                <w:color w:val="auto"/>
                <w:sz w:val="24"/>
              </w:rPr>
              <w:t>Redfern, C.P.F., Kinchin-Smith, D., Newton, S., Morrison, P., Bolton, M. &amp; Piec, D. 2021. Upwelling systems in the migration ecology of Roseate terns (</w:t>
            </w:r>
            <w:r w:rsidRPr="005F054B">
              <w:rPr>
                <w:rFonts w:cs="Calibri"/>
                <w:i/>
                <w:color w:val="auto"/>
                <w:sz w:val="24"/>
              </w:rPr>
              <w:t>Sterna dougallii</w:t>
            </w:r>
            <w:r w:rsidRPr="005F054B">
              <w:rPr>
                <w:rFonts w:cs="Calibri"/>
                <w:color w:val="auto"/>
                <w:sz w:val="24"/>
              </w:rPr>
              <w:t xml:space="preserve">) breeding in north-west Europe. </w:t>
            </w:r>
            <w:r w:rsidRPr="005F054B">
              <w:rPr>
                <w:rFonts w:cs="Calibri"/>
                <w:color w:val="auto"/>
                <w:sz w:val="24"/>
                <w:lang w:val="pt-PT"/>
              </w:rPr>
              <w:t>Ibis in press. https://doi.org/10.1111/ibi.12915</w:t>
            </w:r>
          </w:p>
          <w:p w14:paraId="0780D030" w14:textId="7B4CE9BF" w:rsidR="001D5ED9" w:rsidRPr="005F054B" w:rsidRDefault="001D5ED9">
            <w:pPr>
              <w:tabs>
                <w:tab w:val="clear" w:pos="567"/>
              </w:tabs>
              <w:spacing w:line="240" w:lineRule="auto"/>
              <w:rPr>
                <w:color w:val="auto"/>
                <w:sz w:val="24"/>
                <w:lang w:val="pt-PT"/>
              </w:rPr>
            </w:pPr>
            <w:r w:rsidRPr="005F054B">
              <w:rPr>
                <w:rFonts w:cs="Calibri"/>
                <w:color w:val="auto"/>
                <w:sz w:val="24"/>
                <w:lang w:val="pt-PT"/>
              </w:rPr>
              <w:t xml:space="preserve">SPNM. 2015. Planos de Ação das 14 espécies alvo do projeto LIFE ILHÉUS DO PORTO SANTO (LIFE09 NAT/PT/000041). Serviço do Parque Natural da Madeira (SPNM). </w:t>
            </w:r>
            <w:hyperlink r:id="rId26" w:history="1">
              <w:r w:rsidR="00D2687C" w:rsidRPr="00ED1EE9">
                <w:rPr>
                  <w:rStyle w:val="Hyperlink"/>
                  <w:rFonts w:cs="Calibri"/>
                  <w:sz w:val="24"/>
                  <w:lang w:val="pt-PT"/>
                </w:rPr>
                <w:t>https://ifcn.madeira.gov.pt/images/Doc_Artigos/Biodiversidade/Projetos/lips/Relatorios/planosacao14esp.pdf</w:t>
              </w:r>
            </w:hyperlink>
            <w:r w:rsidR="00D2687C">
              <w:rPr>
                <w:rFonts w:cs="Calibri"/>
                <w:color w:val="auto"/>
                <w:sz w:val="24"/>
                <w:lang w:val="pt-PT"/>
              </w:rPr>
              <w:t xml:space="preserve"> </w:t>
            </w:r>
          </w:p>
        </w:tc>
      </w:tr>
    </w:tbl>
    <w:p w14:paraId="00ECDE96" w14:textId="77777777" w:rsidR="00645F89" w:rsidRPr="001537C0" w:rsidRDefault="00645F89" w:rsidP="001D5ED9">
      <w:pPr>
        <w:spacing w:before="240" w:after="240"/>
        <w:outlineLvl w:val="0"/>
        <w:rPr>
          <w:rFonts w:eastAsia="Calibri"/>
          <w:lang w:val="pt-PT"/>
        </w:rPr>
      </w:pPr>
    </w:p>
    <w:sectPr w:rsidR="00645F89" w:rsidRPr="001537C0" w:rsidSect="00645F89">
      <w:headerReference w:type="even" r:id="rId27"/>
      <w:headerReference w:type="default" r:id="rId28"/>
      <w:footerReference w:type="even" r:id="rId29"/>
      <w:footerReference w:type="defaul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83180" w14:textId="77777777" w:rsidR="00CB40F6" w:rsidRDefault="00CB40F6">
      <w:pPr>
        <w:spacing w:after="0" w:line="240" w:lineRule="auto"/>
      </w:pPr>
      <w:r>
        <w:separator/>
      </w:r>
    </w:p>
  </w:endnote>
  <w:endnote w:type="continuationSeparator" w:id="0">
    <w:p w14:paraId="20F10767" w14:textId="77777777" w:rsidR="00CB40F6" w:rsidRDefault="00CB40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A00002AF" w:usb1="5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4FB13" w14:textId="5E91C1B8" w:rsidR="001D5ED9" w:rsidRPr="00B54666" w:rsidRDefault="001D5ED9">
    <w:pPr>
      <w:pBdr>
        <w:top w:val="single" w:sz="4" w:space="1" w:color="auto"/>
      </w:pBdr>
      <w:tabs>
        <w:tab w:val="clear" w:pos="567"/>
        <w:tab w:val="center" w:pos="4820"/>
        <w:tab w:val="right" w:pos="9639"/>
      </w:tabs>
      <w:spacing w:before="60"/>
      <w:rPr>
        <w:sz w:val="20"/>
      </w:rPr>
    </w:pPr>
    <w:r>
      <w:rPr>
        <w:sz w:val="20"/>
      </w:rPr>
      <w:t>OSPAR Commission</w:t>
    </w:r>
    <w:r>
      <w:rPr>
        <w:sz w:val="20"/>
      </w:rPr>
      <w:tab/>
    </w:r>
    <w:r>
      <w:rPr>
        <w:sz w:val="20"/>
      </w:rPr>
      <w:tab/>
    </w:r>
  </w:p>
  <w:p w14:paraId="6320CBEF" w14:textId="77777777" w:rsidR="001D5ED9" w:rsidRDefault="001D5E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0D889" w14:textId="77777777" w:rsidR="00B33D64" w:rsidRDefault="00B33D64">
    <w:pPr>
      <w:pStyle w:val="Footer"/>
    </w:pPr>
  </w:p>
  <w:p w14:paraId="3D6B5837" w14:textId="77777777" w:rsidR="007D7A43" w:rsidRDefault="007D7A4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050124"/>
      <w:docPartObj>
        <w:docPartGallery w:val="Page Numbers (Bottom of Page)"/>
        <w:docPartUnique/>
      </w:docPartObj>
    </w:sdtPr>
    <w:sdtEndPr/>
    <w:sdtContent>
      <w:sdt>
        <w:sdtPr>
          <w:id w:val="-1769616900"/>
          <w:docPartObj>
            <w:docPartGallery w:val="Page Numbers (Top of Page)"/>
            <w:docPartUnique/>
          </w:docPartObj>
        </w:sdtPr>
        <w:sdtEndPr/>
        <w:sdtContent>
          <w:p w14:paraId="0FADFCD1" w14:textId="061E8E6B" w:rsidR="00101C11" w:rsidRDefault="00101C11">
            <w:pPr>
              <w:pStyle w:val="Footer"/>
              <w:jc w:val="right"/>
            </w:pPr>
            <w:r w:rsidRPr="00101C11">
              <w:rPr>
                <w:sz w:val="24"/>
                <w:szCs w:val="24"/>
              </w:rPr>
              <w:fldChar w:fldCharType="begin"/>
            </w:r>
            <w:r w:rsidRPr="00101C11">
              <w:instrText xml:space="preserve"> PAGE </w:instrText>
            </w:r>
            <w:r w:rsidRPr="00101C11">
              <w:rPr>
                <w:sz w:val="24"/>
                <w:szCs w:val="24"/>
              </w:rPr>
              <w:fldChar w:fldCharType="separate"/>
            </w:r>
            <w:r w:rsidRPr="00101C11">
              <w:rPr>
                <w:noProof/>
              </w:rPr>
              <w:t>2</w:t>
            </w:r>
            <w:r w:rsidRPr="00101C11">
              <w:rPr>
                <w:sz w:val="24"/>
                <w:szCs w:val="24"/>
              </w:rPr>
              <w:fldChar w:fldCharType="end"/>
            </w:r>
            <w:r w:rsidRPr="00101C11">
              <w:t xml:space="preserve"> of </w:t>
            </w:r>
            <w:fldSimple w:instr=" NUMPAGES  ">
              <w:r w:rsidRPr="00101C11">
                <w:rPr>
                  <w:noProof/>
                </w:rPr>
                <w:t>2</w:t>
              </w:r>
            </w:fldSimple>
          </w:p>
        </w:sdtContent>
      </w:sdt>
    </w:sdtContent>
  </w:sdt>
  <w:p w14:paraId="06FE2FA1" w14:textId="51B01403" w:rsidR="002D700B" w:rsidRPr="003B70B7" w:rsidRDefault="00101C11" w:rsidP="003B70B7">
    <w:pPr>
      <w:pBdr>
        <w:top w:val="single" w:sz="4" w:space="1" w:color="auto"/>
      </w:pBdr>
      <w:tabs>
        <w:tab w:val="clear" w:pos="567"/>
        <w:tab w:val="center" w:pos="4820"/>
        <w:tab w:val="right" w:pos="9639"/>
      </w:tabs>
      <w:spacing w:before="60"/>
      <w:rPr>
        <w:sz w:val="20"/>
      </w:rPr>
    </w:pPr>
    <w:r w:rsidRPr="00C21553">
      <w:rPr>
        <w:sz w:val="20"/>
      </w:rPr>
      <w:t>OSPAR Commission</w:t>
    </w:r>
    <w:r w:rsidRPr="00C21553">
      <w:rPr>
        <w:sz w:val="20"/>
      </w:rPr>
      <w:tab/>
    </w:r>
    <w:r w:rsidRPr="00C21553">
      <w:rPr>
        <w:sz w:val="20"/>
      </w:rPr>
      <w:tab/>
    </w:r>
    <w:r w:rsidR="00B33D64" w:rsidRPr="00C21553">
      <w:rPr>
        <w:sz w:val="20"/>
      </w:rPr>
      <w:t>A_</w:t>
    </w:r>
    <w:r w:rsidR="004316D4" w:rsidRPr="00C21553">
      <w:rPr>
        <w:sz w:val="20"/>
      </w:rPr>
      <w:t>EIHA</w:t>
    </w:r>
    <w:r w:rsidRPr="00C21553">
      <w:rPr>
        <w:sz w:val="20"/>
      </w:rPr>
      <w:t xml:space="preserve"> 25/0</w:t>
    </w:r>
    <w:r w:rsidR="00C21553" w:rsidRPr="00C21553">
      <w:rPr>
        <w:sz w:val="20"/>
      </w:rPr>
      <w:t>1</w:t>
    </w:r>
    <w:r w:rsidRPr="00C21553">
      <w:rPr>
        <w:sz w:val="20"/>
      </w:rPr>
      <w:t>/</w:t>
    </w:r>
    <w:r w:rsidR="00F32F3E" w:rsidRPr="00C21553">
      <w:rPr>
        <w:sz w:val="20"/>
      </w:rPr>
      <w:t>0</w:t>
    </w:r>
    <w:r w:rsidR="00C21553" w:rsidRPr="00C21553">
      <w:rPr>
        <w:sz w:val="20"/>
      </w:rPr>
      <w:t>5</w:t>
    </w:r>
  </w:p>
  <w:p w14:paraId="2AF87639" w14:textId="77777777" w:rsidR="007D7A43" w:rsidRDefault="007D7A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A6A6F" w14:textId="77777777" w:rsidR="00CB40F6" w:rsidRDefault="00CB40F6">
      <w:r>
        <w:separator/>
      </w:r>
    </w:p>
  </w:footnote>
  <w:footnote w:type="continuationSeparator" w:id="0">
    <w:p w14:paraId="24A1707F" w14:textId="77777777" w:rsidR="00CB40F6" w:rsidRDefault="00CB4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5F85E" w14:textId="77777777" w:rsidR="00B33D64" w:rsidRDefault="00B33D64">
    <w:pPr>
      <w:pStyle w:val="Header"/>
    </w:pPr>
  </w:p>
  <w:p w14:paraId="6E73B876" w14:textId="77777777" w:rsidR="007D7A43" w:rsidRDefault="007D7A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85417" w14:textId="77777777" w:rsidR="00B33D64" w:rsidRDefault="00B33D64">
    <w:pPr>
      <w:pStyle w:val="Header"/>
    </w:pPr>
  </w:p>
  <w:p w14:paraId="1D39A5F5" w14:textId="77777777" w:rsidR="007D7A43" w:rsidRDefault="007D7A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52BD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4E7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522E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F66E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580F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DC6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FC83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9A84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586894"/>
    <w:lvl w:ilvl="0">
      <w:start w:val="1"/>
      <w:numFmt w:val="decimal"/>
      <w:lvlText w:val="%1."/>
      <w:lvlJc w:val="left"/>
      <w:pPr>
        <w:tabs>
          <w:tab w:val="num" w:pos="360"/>
        </w:tabs>
        <w:ind w:left="360" w:hanging="360"/>
      </w:pPr>
    </w:lvl>
  </w:abstractNum>
  <w:abstractNum w:abstractNumId="9" w15:restartNumberingAfterBreak="0">
    <w:nsid w:val="01582CE0"/>
    <w:multiLevelType w:val="multilevel"/>
    <w:tmpl w:val="AF9EE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17502E6"/>
    <w:multiLevelType w:val="multilevel"/>
    <w:tmpl w:val="B96AB0A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4211321"/>
    <w:multiLevelType w:val="hybridMultilevel"/>
    <w:tmpl w:val="2CF62AA0"/>
    <w:lvl w:ilvl="0" w:tplc="692061A2">
      <w:start w:val="4"/>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04655417"/>
    <w:multiLevelType w:val="hybridMultilevel"/>
    <w:tmpl w:val="5DA4C1AC"/>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184D21"/>
    <w:multiLevelType w:val="hybridMultilevel"/>
    <w:tmpl w:val="54B62D4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6503F0"/>
    <w:multiLevelType w:val="hybridMultilevel"/>
    <w:tmpl w:val="5ABA0BF4"/>
    <w:lvl w:ilvl="0" w:tplc="E6667134">
      <w:start w:val="1"/>
      <w:numFmt w:val="lowerRoman"/>
      <w:lvlText w:val="%1."/>
      <w:lvlJc w:val="right"/>
      <w:pPr>
        <w:ind w:left="720" w:hanging="360"/>
      </w:pPr>
    </w:lvl>
    <w:lvl w:ilvl="1" w:tplc="30A6DBB8">
      <w:start w:val="1"/>
      <w:numFmt w:val="lowerLetter"/>
      <w:lvlText w:val="%2."/>
      <w:lvlJc w:val="left"/>
      <w:pPr>
        <w:ind w:left="1440" w:hanging="360"/>
      </w:pPr>
    </w:lvl>
    <w:lvl w:ilvl="2" w:tplc="D8B4F218">
      <w:start w:val="1"/>
      <w:numFmt w:val="lowerRoman"/>
      <w:lvlText w:val="%3."/>
      <w:lvlJc w:val="right"/>
      <w:pPr>
        <w:ind w:left="2160" w:hanging="180"/>
      </w:pPr>
    </w:lvl>
    <w:lvl w:ilvl="3" w:tplc="09D6DA6C">
      <w:start w:val="1"/>
      <w:numFmt w:val="decimal"/>
      <w:lvlText w:val="%4."/>
      <w:lvlJc w:val="left"/>
      <w:pPr>
        <w:ind w:left="2880" w:hanging="360"/>
      </w:pPr>
    </w:lvl>
    <w:lvl w:ilvl="4" w:tplc="0DFA90EA">
      <w:start w:val="1"/>
      <w:numFmt w:val="lowerLetter"/>
      <w:lvlText w:val="%5."/>
      <w:lvlJc w:val="left"/>
      <w:pPr>
        <w:ind w:left="3600" w:hanging="360"/>
      </w:pPr>
    </w:lvl>
    <w:lvl w:ilvl="5" w:tplc="E81ABAE4">
      <w:start w:val="1"/>
      <w:numFmt w:val="lowerRoman"/>
      <w:lvlText w:val="%6."/>
      <w:lvlJc w:val="right"/>
      <w:pPr>
        <w:ind w:left="4320" w:hanging="180"/>
      </w:pPr>
    </w:lvl>
    <w:lvl w:ilvl="6" w:tplc="5CC2F626">
      <w:start w:val="1"/>
      <w:numFmt w:val="decimal"/>
      <w:lvlText w:val="%7."/>
      <w:lvlJc w:val="left"/>
      <w:pPr>
        <w:ind w:left="5040" w:hanging="360"/>
      </w:pPr>
    </w:lvl>
    <w:lvl w:ilvl="7" w:tplc="BD364560">
      <w:start w:val="1"/>
      <w:numFmt w:val="lowerLetter"/>
      <w:lvlText w:val="%8."/>
      <w:lvlJc w:val="left"/>
      <w:pPr>
        <w:ind w:left="5760" w:hanging="360"/>
      </w:pPr>
    </w:lvl>
    <w:lvl w:ilvl="8" w:tplc="DD50D364">
      <w:start w:val="1"/>
      <w:numFmt w:val="lowerRoman"/>
      <w:lvlText w:val="%9."/>
      <w:lvlJc w:val="right"/>
      <w:pPr>
        <w:ind w:left="6480" w:hanging="180"/>
      </w:pPr>
    </w:lvl>
  </w:abstractNum>
  <w:abstractNum w:abstractNumId="15" w15:restartNumberingAfterBreak="0">
    <w:nsid w:val="0E2558E2"/>
    <w:multiLevelType w:val="hybridMultilevel"/>
    <w:tmpl w:val="2E98E252"/>
    <w:lvl w:ilvl="0" w:tplc="77BA83AE">
      <w:start w:val="2"/>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0F73595F"/>
    <w:multiLevelType w:val="hybridMultilevel"/>
    <w:tmpl w:val="C88C1BC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E90CEE"/>
    <w:multiLevelType w:val="hybridMultilevel"/>
    <w:tmpl w:val="33A21B6E"/>
    <w:lvl w:ilvl="0" w:tplc="D2FEE92E">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4A6B8A"/>
    <w:multiLevelType w:val="multilevel"/>
    <w:tmpl w:val="A2B442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E792F93"/>
    <w:multiLevelType w:val="hybridMultilevel"/>
    <w:tmpl w:val="8E6EB4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0E76E13"/>
    <w:multiLevelType w:val="hybridMultilevel"/>
    <w:tmpl w:val="4FFA87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2195B53"/>
    <w:multiLevelType w:val="hybridMultilevel"/>
    <w:tmpl w:val="711CB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8D1A3C"/>
    <w:multiLevelType w:val="hybridMultilevel"/>
    <w:tmpl w:val="2BA6F31A"/>
    <w:lvl w:ilvl="0" w:tplc="D9E240E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2CC67C1"/>
    <w:multiLevelType w:val="hybridMultilevel"/>
    <w:tmpl w:val="4B4AC4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68F4981"/>
    <w:multiLevelType w:val="hybridMultilevel"/>
    <w:tmpl w:val="496AF3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79A3AEB"/>
    <w:multiLevelType w:val="hybridMultilevel"/>
    <w:tmpl w:val="F9746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374B7E"/>
    <w:multiLevelType w:val="hybridMultilevel"/>
    <w:tmpl w:val="3C8C2C52"/>
    <w:lvl w:ilvl="0" w:tplc="D2FEE92E">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C502BF"/>
    <w:multiLevelType w:val="hybridMultilevel"/>
    <w:tmpl w:val="00E6C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600B2B"/>
    <w:multiLevelType w:val="multilevel"/>
    <w:tmpl w:val="6DACD8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2225ADA"/>
    <w:multiLevelType w:val="hybridMultilevel"/>
    <w:tmpl w:val="666CA75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5B61119"/>
    <w:multiLevelType w:val="hybridMultilevel"/>
    <w:tmpl w:val="5C30113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1" w15:restartNumberingAfterBreak="0">
    <w:nsid w:val="466C6101"/>
    <w:multiLevelType w:val="hybridMultilevel"/>
    <w:tmpl w:val="7660A54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2" w15:restartNumberingAfterBreak="0">
    <w:nsid w:val="47624053"/>
    <w:multiLevelType w:val="hybridMultilevel"/>
    <w:tmpl w:val="08422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C012C6"/>
    <w:multiLevelType w:val="hybridMultilevel"/>
    <w:tmpl w:val="DE3EA31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E326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40A413B"/>
    <w:multiLevelType w:val="hybridMultilevel"/>
    <w:tmpl w:val="487E6466"/>
    <w:lvl w:ilvl="0" w:tplc="0409000F">
      <w:start w:val="1"/>
      <w:numFmt w:val="decimal"/>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6" w15:restartNumberingAfterBreak="0">
    <w:nsid w:val="5BCA2F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6747F2"/>
    <w:multiLevelType w:val="hybridMultilevel"/>
    <w:tmpl w:val="1160D084"/>
    <w:lvl w:ilvl="0" w:tplc="0D107C44">
      <w:start w:val="1"/>
      <w:numFmt w:val="bullet"/>
      <w:pStyle w:val="ListBulletStyle"/>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F15B2B"/>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64846027"/>
    <w:multiLevelType w:val="hybridMultilevel"/>
    <w:tmpl w:val="0B02B8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0A65B3"/>
    <w:multiLevelType w:val="multilevel"/>
    <w:tmpl w:val="90708F3A"/>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690A6224"/>
    <w:multiLevelType w:val="hybridMultilevel"/>
    <w:tmpl w:val="71822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396FC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9A244BA"/>
    <w:multiLevelType w:val="hybridMultilevel"/>
    <w:tmpl w:val="D494E2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02D4EB4"/>
    <w:multiLevelType w:val="hybridMultilevel"/>
    <w:tmpl w:val="4858E202"/>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B83DD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FAF3C1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8034214">
    <w:abstractNumId w:val="40"/>
  </w:num>
  <w:num w:numId="2" w16cid:durableId="1994942126">
    <w:abstractNumId w:val="18"/>
  </w:num>
  <w:num w:numId="3" w16cid:durableId="1449935391">
    <w:abstractNumId w:val="10"/>
  </w:num>
  <w:num w:numId="4" w16cid:durableId="1267425493">
    <w:abstractNumId w:val="24"/>
  </w:num>
  <w:num w:numId="5" w16cid:durableId="346561198">
    <w:abstractNumId w:val="20"/>
  </w:num>
  <w:num w:numId="6" w16cid:durableId="904412019">
    <w:abstractNumId w:val="41"/>
  </w:num>
  <w:num w:numId="7" w16cid:durableId="1293099006">
    <w:abstractNumId w:val="39"/>
  </w:num>
  <w:num w:numId="8" w16cid:durableId="334577686">
    <w:abstractNumId w:val="27"/>
  </w:num>
  <w:num w:numId="9" w16cid:durableId="88084345">
    <w:abstractNumId w:val="46"/>
  </w:num>
  <w:num w:numId="10" w16cid:durableId="472020140">
    <w:abstractNumId w:val="45"/>
  </w:num>
  <w:num w:numId="11" w16cid:durableId="1808086827">
    <w:abstractNumId w:val="36"/>
  </w:num>
  <w:num w:numId="12" w16cid:durableId="1854417800">
    <w:abstractNumId w:val="42"/>
  </w:num>
  <w:num w:numId="13" w16cid:durableId="774255779">
    <w:abstractNumId w:val="34"/>
  </w:num>
  <w:num w:numId="14" w16cid:durableId="427234080">
    <w:abstractNumId w:val="28"/>
  </w:num>
  <w:num w:numId="15" w16cid:durableId="1562444465">
    <w:abstractNumId w:val="38"/>
  </w:num>
  <w:num w:numId="16" w16cid:durableId="1716349324">
    <w:abstractNumId w:val="37"/>
  </w:num>
  <w:num w:numId="17" w16cid:durableId="132869158">
    <w:abstractNumId w:val="8"/>
  </w:num>
  <w:num w:numId="18" w16cid:durableId="995763026">
    <w:abstractNumId w:val="7"/>
  </w:num>
  <w:num w:numId="19" w16cid:durableId="232667023">
    <w:abstractNumId w:val="6"/>
  </w:num>
  <w:num w:numId="20" w16cid:durableId="1304695048">
    <w:abstractNumId w:val="5"/>
  </w:num>
  <w:num w:numId="21" w16cid:durableId="445394533">
    <w:abstractNumId w:val="4"/>
  </w:num>
  <w:num w:numId="22" w16cid:durableId="1405180007">
    <w:abstractNumId w:val="3"/>
  </w:num>
  <w:num w:numId="23" w16cid:durableId="1343315843">
    <w:abstractNumId w:val="2"/>
  </w:num>
  <w:num w:numId="24" w16cid:durableId="1522354579">
    <w:abstractNumId w:val="1"/>
  </w:num>
  <w:num w:numId="25" w16cid:durableId="1492870509">
    <w:abstractNumId w:val="0"/>
  </w:num>
  <w:num w:numId="26" w16cid:durableId="1500388604">
    <w:abstractNumId w:val="14"/>
  </w:num>
  <w:num w:numId="27" w16cid:durableId="1285887241">
    <w:abstractNumId w:val="32"/>
  </w:num>
  <w:num w:numId="28" w16cid:durableId="1358847152">
    <w:abstractNumId w:val="13"/>
  </w:num>
  <w:num w:numId="29" w16cid:durableId="1424491180">
    <w:abstractNumId w:val="22"/>
  </w:num>
  <w:num w:numId="30" w16cid:durableId="1533301556">
    <w:abstractNumId w:val="44"/>
  </w:num>
  <w:num w:numId="31" w16cid:durableId="1914470156">
    <w:abstractNumId w:val="12"/>
  </w:num>
  <w:num w:numId="32" w16cid:durableId="1342783319">
    <w:abstractNumId w:val="35"/>
  </w:num>
  <w:num w:numId="33" w16cid:durableId="511578194">
    <w:abstractNumId w:val="33"/>
  </w:num>
  <w:num w:numId="34" w16cid:durableId="9307888">
    <w:abstractNumId w:val="23"/>
  </w:num>
  <w:num w:numId="35" w16cid:durableId="2046522851">
    <w:abstractNumId w:val="43"/>
  </w:num>
  <w:num w:numId="36" w16cid:durableId="1466311149">
    <w:abstractNumId w:val="29"/>
  </w:num>
  <w:num w:numId="37" w16cid:durableId="1889487194">
    <w:abstractNumId w:val="25"/>
  </w:num>
  <w:num w:numId="38" w16cid:durableId="1827889786">
    <w:abstractNumId w:val="19"/>
  </w:num>
  <w:num w:numId="39" w16cid:durableId="824591585">
    <w:abstractNumId w:val="21"/>
  </w:num>
  <w:num w:numId="40" w16cid:durableId="1998994729">
    <w:abstractNumId w:val="15"/>
  </w:num>
  <w:num w:numId="41" w16cid:durableId="137499860">
    <w:abstractNumId w:val="30"/>
  </w:num>
  <w:num w:numId="42" w16cid:durableId="218710197">
    <w:abstractNumId w:val="11"/>
  </w:num>
  <w:num w:numId="43" w16cid:durableId="1951156186">
    <w:abstractNumId w:val="17"/>
  </w:num>
  <w:num w:numId="44" w16cid:durableId="1915310872">
    <w:abstractNumId w:val="26"/>
  </w:num>
  <w:num w:numId="45" w16cid:durableId="1216353491">
    <w:abstractNumId w:val="9"/>
  </w:num>
  <w:num w:numId="46" w16cid:durableId="249431633">
    <w:abstractNumId w:val="16"/>
  </w:num>
  <w:num w:numId="47" w16cid:durableId="43656435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00B"/>
    <w:rsid w:val="000916E3"/>
    <w:rsid w:val="00097491"/>
    <w:rsid w:val="000A64B8"/>
    <w:rsid w:val="000D27C8"/>
    <w:rsid w:val="000D2F54"/>
    <w:rsid w:val="000D428F"/>
    <w:rsid w:val="000E5E10"/>
    <w:rsid w:val="00101C11"/>
    <w:rsid w:val="001327CC"/>
    <w:rsid w:val="001537C0"/>
    <w:rsid w:val="001605BE"/>
    <w:rsid w:val="00195ADE"/>
    <w:rsid w:val="001A25A9"/>
    <w:rsid w:val="001D5ED9"/>
    <w:rsid w:val="00205663"/>
    <w:rsid w:val="002145C1"/>
    <w:rsid w:val="0026017E"/>
    <w:rsid w:val="002651D0"/>
    <w:rsid w:val="00291D0D"/>
    <w:rsid w:val="002B18E4"/>
    <w:rsid w:val="002B296F"/>
    <w:rsid w:val="002D6988"/>
    <w:rsid w:val="002D700B"/>
    <w:rsid w:val="002F7928"/>
    <w:rsid w:val="003168A7"/>
    <w:rsid w:val="003636DD"/>
    <w:rsid w:val="003B6410"/>
    <w:rsid w:val="003B70B7"/>
    <w:rsid w:val="004316D4"/>
    <w:rsid w:val="00443420"/>
    <w:rsid w:val="00447ADE"/>
    <w:rsid w:val="00451AAF"/>
    <w:rsid w:val="004B1B74"/>
    <w:rsid w:val="004C4A95"/>
    <w:rsid w:val="00512D09"/>
    <w:rsid w:val="00513FD8"/>
    <w:rsid w:val="005231BE"/>
    <w:rsid w:val="0054567C"/>
    <w:rsid w:val="00553EAD"/>
    <w:rsid w:val="005819D0"/>
    <w:rsid w:val="00581D4C"/>
    <w:rsid w:val="0059651F"/>
    <w:rsid w:val="005B0930"/>
    <w:rsid w:val="005F5A19"/>
    <w:rsid w:val="00620C25"/>
    <w:rsid w:val="00624394"/>
    <w:rsid w:val="00636372"/>
    <w:rsid w:val="00645F89"/>
    <w:rsid w:val="006F2A2B"/>
    <w:rsid w:val="007243BE"/>
    <w:rsid w:val="007A5666"/>
    <w:rsid w:val="007C059B"/>
    <w:rsid w:val="007D7A43"/>
    <w:rsid w:val="00875271"/>
    <w:rsid w:val="008B68CA"/>
    <w:rsid w:val="008D100D"/>
    <w:rsid w:val="00906CA7"/>
    <w:rsid w:val="0093550F"/>
    <w:rsid w:val="009542A5"/>
    <w:rsid w:val="009605D4"/>
    <w:rsid w:val="00982FA0"/>
    <w:rsid w:val="009B76F3"/>
    <w:rsid w:val="00A3238F"/>
    <w:rsid w:val="00A43FD3"/>
    <w:rsid w:val="00A63D48"/>
    <w:rsid w:val="00AE374D"/>
    <w:rsid w:val="00AF7AE8"/>
    <w:rsid w:val="00B33D64"/>
    <w:rsid w:val="00B5148E"/>
    <w:rsid w:val="00B51EF4"/>
    <w:rsid w:val="00B52B85"/>
    <w:rsid w:val="00B63AAD"/>
    <w:rsid w:val="00B63D5E"/>
    <w:rsid w:val="00B71280"/>
    <w:rsid w:val="00B715DF"/>
    <w:rsid w:val="00B7793B"/>
    <w:rsid w:val="00BA01AF"/>
    <w:rsid w:val="00BC05C0"/>
    <w:rsid w:val="00BF78F3"/>
    <w:rsid w:val="00C21553"/>
    <w:rsid w:val="00C25D58"/>
    <w:rsid w:val="00C775B1"/>
    <w:rsid w:val="00C805FD"/>
    <w:rsid w:val="00C847C0"/>
    <w:rsid w:val="00C955E5"/>
    <w:rsid w:val="00C95D4E"/>
    <w:rsid w:val="00CB40F6"/>
    <w:rsid w:val="00CC0715"/>
    <w:rsid w:val="00CF546F"/>
    <w:rsid w:val="00D2687C"/>
    <w:rsid w:val="00D935CE"/>
    <w:rsid w:val="00DB5134"/>
    <w:rsid w:val="00DF2C3A"/>
    <w:rsid w:val="00DF5C93"/>
    <w:rsid w:val="00DF746A"/>
    <w:rsid w:val="00E34C17"/>
    <w:rsid w:val="00E60707"/>
    <w:rsid w:val="00EB7D1C"/>
    <w:rsid w:val="00EC6A6B"/>
    <w:rsid w:val="00EE1787"/>
    <w:rsid w:val="00F07FD4"/>
    <w:rsid w:val="00F13CAB"/>
    <w:rsid w:val="00F32F3E"/>
    <w:rsid w:val="00F34400"/>
    <w:rsid w:val="00F71960"/>
    <w:rsid w:val="00F77B9E"/>
    <w:rsid w:val="00F8616B"/>
    <w:rsid w:val="00FB0A2F"/>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B5201"/>
  <w15:docId w15:val="{780F3302-41FA-4475-A672-40A1F02A5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47B5"/>
    <w:pPr>
      <w:tabs>
        <w:tab w:val="left" w:pos="567"/>
      </w:tabs>
      <w:spacing w:after="120" w:line="276" w:lineRule="auto"/>
      <w:jc w:val="both"/>
    </w:pPr>
    <w:rPr>
      <w:rFonts w:ascii="Calibri" w:hAnsi="Calibri"/>
      <w:color w:val="00000A"/>
      <w:sz w:val="22"/>
      <w:lang w:eastAsia="en-US"/>
    </w:rPr>
  </w:style>
  <w:style w:type="paragraph" w:styleId="Heading1">
    <w:name w:val="heading 1"/>
    <w:basedOn w:val="Title"/>
    <w:link w:val="Heading1Char"/>
    <w:uiPriority w:val="9"/>
    <w:qFormat/>
    <w:rsid w:val="00546370"/>
    <w:pPr>
      <w:spacing w:before="140" w:after="140" w:line="280" w:lineRule="atLeast"/>
      <w:jc w:val="left"/>
      <w:outlineLvl w:val="0"/>
    </w:pPr>
    <w:rPr>
      <w:rFonts w:ascii="Arial" w:hAnsi="Arial"/>
      <w:lang w:val="en-US"/>
    </w:rPr>
  </w:style>
  <w:style w:type="paragraph" w:styleId="Heading2">
    <w:name w:val="heading 2"/>
    <w:basedOn w:val="Title"/>
    <w:link w:val="Heading2Char"/>
    <w:uiPriority w:val="9"/>
    <w:qFormat/>
    <w:rsid w:val="00381F9B"/>
    <w:pPr>
      <w:spacing w:before="140" w:after="140" w:line="280" w:lineRule="atLeast"/>
      <w:jc w:val="left"/>
      <w:outlineLvl w:val="1"/>
    </w:pPr>
    <w:rPr>
      <w:rFonts w:ascii="Calibri" w:hAnsi="Calibri"/>
      <w:b/>
      <w:lang w:val="en-US"/>
    </w:rPr>
  </w:style>
  <w:style w:type="paragraph" w:styleId="Heading3">
    <w:name w:val="heading 3"/>
    <w:basedOn w:val="Title"/>
    <w:link w:val="Heading3Char"/>
    <w:uiPriority w:val="9"/>
    <w:qFormat/>
    <w:rsid w:val="00546370"/>
    <w:pPr>
      <w:spacing w:before="140" w:after="140" w:line="280" w:lineRule="atLeast"/>
      <w:jc w:val="left"/>
      <w:outlineLvl w:val="2"/>
    </w:pPr>
    <w:rPr>
      <w:rFonts w:ascii="Arial" w:hAnsi="Arial"/>
      <w:b/>
      <w:lang w:val="en-US"/>
    </w:rPr>
  </w:style>
  <w:style w:type="paragraph" w:styleId="Heading4">
    <w:name w:val="heading 4"/>
    <w:basedOn w:val="Normal"/>
    <w:next w:val="Normal"/>
    <w:link w:val="Heading4Char"/>
    <w:uiPriority w:val="9"/>
    <w:semiHidden/>
    <w:unhideWhenUsed/>
    <w:qFormat/>
    <w:rsid w:val="00195ADE"/>
    <w:pPr>
      <w:keepNext/>
      <w:keepLines/>
      <w:spacing w:before="40" w:after="0"/>
      <w:outlineLvl w:val="3"/>
    </w:pPr>
    <w:rPr>
      <w:rFonts w:ascii="Arial" w:hAnsi="Arial"/>
      <w:iCs/>
      <w:color w:val="auto"/>
      <w:sz w:val="20"/>
      <w:lang w:eastAsia="en-GB"/>
    </w:rPr>
  </w:style>
  <w:style w:type="paragraph" w:styleId="Heading5">
    <w:name w:val="heading 5"/>
    <w:basedOn w:val="Normal"/>
    <w:next w:val="Normal"/>
    <w:link w:val="Heading5Char"/>
    <w:uiPriority w:val="9"/>
    <w:semiHidden/>
    <w:unhideWhenUsed/>
    <w:qFormat/>
    <w:rsid w:val="00195ADE"/>
    <w:pPr>
      <w:keepNext/>
      <w:keepLines/>
      <w:spacing w:before="40" w:after="0"/>
      <w:outlineLvl w:val="4"/>
    </w:pPr>
    <w:rPr>
      <w:rFonts w:ascii="Arial" w:hAnsi="Arial"/>
      <w:b/>
      <w:bCs/>
      <w:color w:val="7F7F7F"/>
      <w:sz w:val="20"/>
      <w:lang w:eastAsia="en-GB"/>
    </w:rPr>
  </w:style>
  <w:style w:type="paragraph" w:styleId="Heading6">
    <w:name w:val="heading 6"/>
    <w:basedOn w:val="Normal"/>
    <w:next w:val="Normal"/>
    <w:link w:val="Heading6Char"/>
    <w:uiPriority w:val="9"/>
    <w:semiHidden/>
    <w:unhideWhenUsed/>
    <w:qFormat/>
    <w:rsid w:val="00195ADE"/>
    <w:pPr>
      <w:keepNext/>
      <w:keepLines/>
      <w:spacing w:before="40" w:after="0"/>
      <w:outlineLvl w:val="5"/>
    </w:pPr>
    <w:rPr>
      <w:rFonts w:ascii="Arial" w:hAnsi="Arial"/>
      <w:b/>
      <w:bCs/>
      <w:i/>
      <w:iCs/>
      <w:color w:val="7F7F7F"/>
      <w:sz w:val="20"/>
      <w:lang w:eastAsia="en-GB"/>
    </w:rPr>
  </w:style>
  <w:style w:type="paragraph" w:styleId="Heading7">
    <w:name w:val="heading 7"/>
    <w:basedOn w:val="Normal"/>
    <w:next w:val="Normal"/>
    <w:link w:val="Heading7Char"/>
    <w:uiPriority w:val="9"/>
    <w:semiHidden/>
    <w:unhideWhenUsed/>
    <w:qFormat/>
    <w:rsid w:val="00195ADE"/>
    <w:pPr>
      <w:keepNext/>
      <w:keepLines/>
      <w:spacing w:before="40" w:after="0"/>
      <w:outlineLvl w:val="6"/>
    </w:pPr>
    <w:rPr>
      <w:rFonts w:ascii="Arial" w:hAnsi="Arial"/>
      <w:i/>
      <w:iCs/>
      <w:color w:val="auto"/>
      <w:sz w:val="20"/>
      <w:lang w:eastAsia="en-GB"/>
    </w:rPr>
  </w:style>
  <w:style w:type="paragraph" w:styleId="Heading8">
    <w:name w:val="heading 8"/>
    <w:basedOn w:val="Normal"/>
    <w:next w:val="Normal"/>
    <w:link w:val="Heading8Char"/>
    <w:uiPriority w:val="9"/>
    <w:semiHidden/>
    <w:unhideWhenUsed/>
    <w:qFormat/>
    <w:rsid w:val="00195ADE"/>
    <w:pPr>
      <w:keepNext/>
      <w:keepLines/>
      <w:spacing w:before="40" w:after="0"/>
      <w:outlineLvl w:val="7"/>
    </w:pPr>
    <w:rPr>
      <w:rFonts w:ascii="Arial" w:hAnsi="Arial"/>
      <w:color w:val="auto"/>
      <w:sz w:val="20"/>
      <w:lang w:eastAsia="en-GB"/>
    </w:rPr>
  </w:style>
  <w:style w:type="paragraph" w:styleId="Heading9">
    <w:name w:val="heading 9"/>
    <w:basedOn w:val="Normal"/>
    <w:next w:val="Normal"/>
    <w:link w:val="Heading9Char"/>
    <w:uiPriority w:val="9"/>
    <w:semiHidden/>
    <w:unhideWhenUsed/>
    <w:qFormat/>
    <w:rsid w:val="00195ADE"/>
    <w:pPr>
      <w:keepNext/>
      <w:keepLines/>
      <w:spacing w:before="40" w:after="0"/>
      <w:outlineLvl w:val="8"/>
    </w:pPr>
    <w:rPr>
      <w:rFonts w:ascii="Arial" w:hAnsi="Arial"/>
      <w:i/>
      <w:iCs/>
      <w:color w:val="auto"/>
      <w:spacing w:val="5"/>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qFormat/>
    <w:rsid w:val="00BC7E24"/>
    <w:rPr>
      <w:rFonts w:ascii="Arial" w:hAnsi="Arial"/>
      <w:sz w:val="18"/>
    </w:rPr>
  </w:style>
  <w:style w:type="character" w:styleId="FollowedHyperlink">
    <w:name w:val="FollowedHyperlink"/>
    <w:uiPriority w:val="99"/>
    <w:qFormat/>
    <w:rPr>
      <w:color w:val="808080"/>
      <w:u w:val="none"/>
    </w:rPr>
  </w:style>
  <w:style w:type="character" w:customStyle="1" w:styleId="LienInternet">
    <w:name w:val="Lien Internet"/>
    <w:rsid w:val="00546370"/>
    <w:rPr>
      <w:rFonts w:ascii="Arial" w:hAnsi="Arial"/>
      <w:color w:val="16288E"/>
      <w:u w:val="none"/>
    </w:rPr>
  </w:style>
  <w:style w:type="character" w:customStyle="1" w:styleId="Heading1Char">
    <w:name w:val="Heading 1 Char"/>
    <w:link w:val="Heading1"/>
    <w:uiPriority w:val="9"/>
    <w:qFormat/>
    <w:rsid w:val="00EE7DC4"/>
    <w:rPr>
      <w:rFonts w:ascii="Arial" w:hAnsi="Arial"/>
      <w:sz w:val="28"/>
      <w:lang w:val="en-US" w:eastAsia="en-US" w:bidi="ar-SA"/>
    </w:rPr>
  </w:style>
  <w:style w:type="character" w:customStyle="1" w:styleId="Heading2Char">
    <w:name w:val="Heading 2 Char"/>
    <w:link w:val="Heading2"/>
    <w:uiPriority w:val="9"/>
    <w:qFormat/>
    <w:rsid w:val="00381F9B"/>
    <w:rPr>
      <w:rFonts w:ascii="Calibri" w:hAnsi="Calibri"/>
      <w:b/>
      <w:sz w:val="28"/>
      <w:lang w:val="en-US" w:eastAsia="en-US"/>
    </w:rPr>
  </w:style>
  <w:style w:type="character" w:customStyle="1" w:styleId="Heading3Char">
    <w:name w:val="Heading 3 Char"/>
    <w:link w:val="Heading3"/>
    <w:uiPriority w:val="9"/>
    <w:qFormat/>
    <w:rsid w:val="00EE7DC4"/>
    <w:rPr>
      <w:rFonts w:ascii="Arial" w:hAnsi="Arial"/>
      <w:b/>
      <w:lang w:val="en-US" w:eastAsia="en-US" w:bidi="ar-SA"/>
    </w:rPr>
  </w:style>
  <w:style w:type="character" w:customStyle="1" w:styleId="TitleChar">
    <w:name w:val="Title Char"/>
    <w:link w:val="Titreprincipal"/>
    <w:uiPriority w:val="10"/>
    <w:qFormat/>
    <w:rsid w:val="00EE7DC4"/>
    <w:rPr>
      <w:rFonts w:ascii="Arial" w:hAnsi="Arial"/>
      <w:sz w:val="40"/>
      <w:lang w:val="en-US" w:eastAsia="en-US" w:bidi="ar-SA"/>
    </w:rPr>
  </w:style>
  <w:style w:type="character" w:styleId="FootnoteReference">
    <w:name w:val="footnote reference"/>
    <w:aliases w:val="stylish"/>
    <w:qFormat/>
    <w:rsid w:val="00D02098"/>
    <w:rPr>
      <w:vertAlign w:val="superscript"/>
    </w:rPr>
  </w:style>
  <w:style w:type="character" w:styleId="CommentReference">
    <w:name w:val="annotation reference"/>
    <w:basedOn w:val="DefaultParagraphFont"/>
    <w:uiPriority w:val="99"/>
    <w:unhideWhenUsed/>
    <w:qFormat/>
    <w:rsid w:val="001936F6"/>
    <w:rPr>
      <w:sz w:val="16"/>
      <w:szCs w:val="16"/>
    </w:rPr>
  </w:style>
  <w:style w:type="character" w:customStyle="1" w:styleId="CommentTextChar">
    <w:name w:val="Comment Text Char"/>
    <w:basedOn w:val="DefaultParagraphFont"/>
    <w:link w:val="CommentText"/>
    <w:uiPriority w:val="99"/>
    <w:qFormat/>
    <w:rsid w:val="001936F6"/>
    <w:rPr>
      <w:rFonts w:ascii="Calibri" w:eastAsia="Calibri" w:hAnsi="Calibri"/>
      <w:lang w:val="fi-FI" w:eastAsia="en-US"/>
    </w:rPr>
  </w:style>
  <w:style w:type="character" w:customStyle="1" w:styleId="BalloonTextChar">
    <w:name w:val="Balloon Text Char"/>
    <w:basedOn w:val="DefaultParagraphFont"/>
    <w:link w:val="BalloonText"/>
    <w:uiPriority w:val="99"/>
    <w:qFormat/>
    <w:rsid w:val="001936F6"/>
    <w:rPr>
      <w:rFonts w:ascii="Tahoma" w:hAnsi="Tahoma" w:cs="Tahoma"/>
      <w:sz w:val="16"/>
      <w:szCs w:val="16"/>
      <w:lang w:eastAsia="en-US"/>
    </w:rPr>
  </w:style>
  <w:style w:type="character" w:customStyle="1" w:styleId="CommentSubjectChar">
    <w:name w:val="Comment Subject Char"/>
    <w:basedOn w:val="CommentTextChar"/>
    <w:link w:val="CommentSubject"/>
    <w:uiPriority w:val="99"/>
    <w:qFormat/>
    <w:rsid w:val="00E21E1F"/>
    <w:rPr>
      <w:rFonts w:ascii="Arial" w:eastAsia="Calibri" w:hAnsi="Arial"/>
      <w:b/>
      <w:bCs/>
      <w:lang w:val="fi-FI" w:eastAsia="en-US"/>
    </w:rPr>
  </w:style>
  <w:style w:type="character" w:customStyle="1" w:styleId="ListParagraphChar">
    <w:name w:val="List Paragraph Char"/>
    <w:aliases w:val="_Bullet Char"/>
    <w:link w:val="ListParagraph"/>
    <w:uiPriority w:val="34"/>
    <w:qFormat/>
    <w:locked/>
    <w:rsid w:val="00097B8D"/>
    <w:rPr>
      <w:rFonts w:ascii="Calibri" w:eastAsia="Calibri" w:hAnsi="Calibri"/>
      <w:sz w:val="22"/>
      <w:szCs w:val="22"/>
      <w:lang w:eastAsia="en-US"/>
    </w:rPr>
  </w:style>
  <w:style w:type="character" w:styleId="Emphasis">
    <w:name w:val="Emphasis"/>
    <w:basedOn w:val="DefaultParagraphFont"/>
    <w:uiPriority w:val="20"/>
    <w:qFormat/>
    <w:rsid w:val="003D61EF"/>
    <w:rPr>
      <w:i/>
      <w:iCs/>
    </w:rPr>
  </w:style>
  <w:style w:type="character" w:customStyle="1" w:styleId="FootnoteTextChar">
    <w:name w:val="Footnote Text Char"/>
    <w:aliases w:val="Ftnote Txt 11ptG Char"/>
    <w:basedOn w:val="DefaultParagraphFont"/>
    <w:link w:val="FootnoteText"/>
    <w:qFormat/>
    <w:rsid w:val="00070CF7"/>
    <w:rPr>
      <w:rFonts w:ascii="Arial" w:hAnsi="Arial"/>
      <w:sz w:val="16"/>
      <w:lang w:val="en-US" w:eastAsia="en-US"/>
    </w:rPr>
  </w:style>
  <w:style w:type="character" w:customStyle="1" w:styleId="ListLabel1">
    <w:name w:val="ListLabel 1"/>
    <w:qFormat/>
    <w:rPr>
      <w:color w:val="00000A"/>
    </w:rPr>
  </w:style>
  <w:style w:type="character" w:customStyle="1" w:styleId="ListLabel2">
    <w:name w:val="ListLabel 2"/>
    <w:qFormat/>
    <w:rPr>
      <w:color w:val="00000A"/>
    </w:rPr>
  </w:style>
  <w:style w:type="character" w:customStyle="1" w:styleId="ListLabel3">
    <w:name w:val="ListLabel 3"/>
    <w:qFormat/>
    <w:rPr>
      <w:b w:val="0"/>
      <w:i w:val="0"/>
      <w:color w:val="00000A"/>
      <w:sz w:val="20"/>
    </w:rPr>
  </w:style>
  <w:style w:type="character" w:customStyle="1" w:styleId="ListLabel4">
    <w:name w:val="ListLabel 4"/>
    <w:qFormat/>
    <w:rPr>
      <w:b w:val="0"/>
      <w:i w:val="0"/>
      <w:color w:val="00000A"/>
      <w:sz w:val="20"/>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Times New Roman"/>
      <w:i w:val="0"/>
      <w:sz w:val="22"/>
      <w:szCs w:val="22"/>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Caractresdenotedebasdepage">
    <w:name w:val="Caractères de note de bas de page"/>
    <w:qFormat/>
  </w:style>
  <w:style w:type="character" w:customStyle="1" w:styleId="Ancredenotedebasdepage">
    <w:name w:val="Ancre de note de bas de page"/>
    <w:rPr>
      <w:vertAlign w:val="superscript"/>
    </w:rPr>
  </w:style>
  <w:style w:type="character" w:customStyle="1" w:styleId="Ancredenotedefin">
    <w:name w:val="Ancre de note de fin"/>
    <w:rPr>
      <w:vertAlign w:val="superscript"/>
    </w:rPr>
  </w:style>
  <w:style w:type="character" w:customStyle="1" w:styleId="Caractresdenotedefin">
    <w:name w:val="Caractères de note de fin"/>
    <w:qFormat/>
  </w:style>
  <w:style w:type="character" w:customStyle="1" w:styleId="ListLabel17">
    <w:name w:val="ListLabel 17"/>
    <w:qFormat/>
    <w:rPr>
      <w:rFonts w:ascii="Calibri" w:hAnsi="Calibri" w:cs="Symbol"/>
      <w:sz w:val="20"/>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paragraph" w:styleId="Title">
    <w:name w:val="Title"/>
    <w:basedOn w:val="Normal"/>
    <w:next w:val="BodyText"/>
    <w:uiPriority w:val="10"/>
    <w:qFormat/>
    <w:pPr>
      <w:keepNext/>
      <w:spacing w:before="240"/>
    </w:pPr>
    <w:rPr>
      <w:rFonts w:ascii="Liberation Sans" w:eastAsia="Microsoft YaHei" w:hAnsi="Liberation Sans" w:cs="Mangal"/>
      <w:sz w:val="28"/>
      <w:szCs w:val="28"/>
    </w:rPr>
  </w:style>
  <w:style w:type="paragraph" w:styleId="BodyText">
    <w:name w:val="Body Text"/>
    <w:basedOn w:val="Normal"/>
    <w:link w:val="BodyTextChar"/>
    <w:rsid w:val="00546370"/>
  </w:style>
  <w:style w:type="paragraph" w:styleId="List">
    <w:name w:val="List"/>
    <w:basedOn w:val="BodyText"/>
    <w:rPr>
      <w:rFonts w:cs="Mangal"/>
    </w:rPr>
  </w:style>
  <w:style w:type="paragraph" w:styleId="Caption">
    <w:name w:val="caption"/>
    <w:basedOn w:val="Normal"/>
    <w:uiPriority w:val="35"/>
    <w:qFormat/>
    <w:pPr>
      <w:suppressLineNumbers/>
      <w:spacing w:before="120"/>
    </w:pPr>
    <w:rPr>
      <w:rFonts w:cs="Mangal"/>
      <w:i/>
      <w:iCs/>
      <w:sz w:val="24"/>
      <w:szCs w:val="24"/>
    </w:rPr>
  </w:style>
  <w:style w:type="paragraph" w:customStyle="1" w:styleId="Index">
    <w:name w:val="Index"/>
    <w:basedOn w:val="Normal"/>
    <w:qFormat/>
    <w:pPr>
      <w:suppressLineNumbers/>
    </w:pPr>
    <w:rPr>
      <w:rFonts w:cs="Mangal"/>
    </w:rPr>
  </w:style>
  <w:style w:type="paragraph" w:styleId="Header">
    <w:name w:val="header"/>
    <w:basedOn w:val="Normal"/>
    <w:link w:val="HeaderChar"/>
    <w:uiPriority w:val="99"/>
    <w:rsid w:val="00F42CE4"/>
    <w:pPr>
      <w:tabs>
        <w:tab w:val="left" w:pos="357"/>
        <w:tab w:val="center" w:pos="4320"/>
        <w:tab w:val="right" w:pos="8640"/>
      </w:tabs>
    </w:pPr>
    <w:rPr>
      <w:sz w:val="18"/>
    </w:rPr>
  </w:style>
  <w:style w:type="paragraph" w:styleId="Footer">
    <w:name w:val="footer"/>
    <w:aliases w:val="Footer1"/>
    <w:basedOn w:val="Normal"/>
    <w:link w:val="FooterChar"/>
    <w:uiPriority w:val="99"/>
    <w:rsid w:val="00F42CE4"/>
    <w:rPr>
      <w:sz w:val="18"/>
    </w:rPr>
  </w:style>
  <w:style w:type="paragraph" w:customStyle="1" w:styleId="Tabledesmatiresniveau2">
    <w:name w:val="Table des matières niveau 2"/>
    <w:basedOn w:val="Index"/>
    <w:next w:val="Normal"/>
    <w:autoRedefine/>
    <w:semiHidden/>
    <w:pPr>
      <w:tabs>
        <w:tab w:val="left" w:pos="1134"/>
        <w:tab w:val="left" w:pos="2268"/>
        <w:tab w:val="left" w:pos="2552"/>
        <w:tab w:val="left" w:pos="3119"/>
        <w:tab w:val="right" w:leader="dot" w:pos="8448"/>
      </w:tabs>
      <w:spacing w:before="60" w:after="60"/>
      <w:ind w:left="3119" w:right="1134" w:hanging="1418"/>
      <w:jc w:val="left"/>
    </w:pPr>
    <w:rPr>
      <w:rFonts w:ascii="Arial" w:hAnsi="Arial"/>
    </w:rPr>
  </w:style>
  <w:style w:type="paragraph" w:customStyle="1" w:styleId="Tabledesmatiresniveau3">
    <w:name w:val="Table des matières niveau 3"/>
    <w:basedOn w:val="BodyText"/>
    <w:next w:val="Normal"/>
    <w:autoRedefine/>
    <w:semiHidden/>
    <w:pPr>
      <w:tabs>
        <w:tab w:val="left" w:pos="851"/>
        <w:tab w:val="left" w:pos="1134"/>
        <w:tab w:val="left" w:pos="2268"/>
        <w:tab w:val="right" w:leader="dot" w:pos="8448"/>
      </w:tabs>
      <w:spacing w:after="0"/>
      <w:ind w:left="2268" w:right="1134"/>
    </w:pPr>
  </w:style>
  <w:style w:type="paragraph" w:customStyle="1" w:styleId="Tabledesmatiresniveau4">
    <w:name w:val="Table des matières niveau 4"/>
    <w:basedOn w:val="Normal"/>
    <w:next w:val="Normal"/>
    <w:autoRedefine/>
    <w:semiHidden/>
    <w:pPr>
      <w:tabs>
        <w:tab w:val="right" w:leader="dot" w:pos="8448"/>
        <w:tab w:val="right" w:pos="8505"/>
      </w:tabs>
      <w:ind w:left="2835" w:right="1134"/>
    </w:pPr>
  </w:style>
  <w:style w:type="paragraph" w:customStyle="1" w:styleId="Address">
    <w:name w:val="Address"/>
    <w:qFormat/>
    <w:pPr>
      <w:spacing w:line="180" w:lineRule="atLeast"/>
    </w:pPr>
    <w:rPr>
      <w:rFonts w:ascii="Arial" w:hAnsi="Arial"/>
      <w:color w:val="16288E"/>
      <w:sz w:val="16"/>
      <w:lang w:val="en-US" w:eastAsia="en-US"/>
    </w:rPr>
  </w:style>
  <w:style w:type="paragraph" w:styleId="EndnoteText">
    <w:name w:val="endnote text"/>
    <w:basedOn w:val="Normal"/>
    <w:link w:val="EndnoteTextChar"/>
    <w:uiPriority w:val="99"/>
    <w:semiHidden/>
    <w:qFormat/>
    <w:pPr>
      <w:tabs>
        <w:tab w:val="left" w:pos="357"/>
      </w:tabs>
    </w:pPr>
  </w:style>
  <w:style w:type="paragraph" w:styleId="EnvelopeAddress">
    <w:name w:val="envelope address"/>
    <w:basedOn w:val="Normal"/>
    <w:qFormat/>
    <w:pPr>
      <w:tabs>
        <w:tab w:val="left" w:pos="357"/>
      </w:tabs>
      <w:ind w:left="2880"/>
    </w:pPr>
  </w:style>
  <w:style w:type="paragraph" w:styleId="FootnoteText">
    <w:name w:val="footnote text"/>
    <w:aliases w:val="Ftnote Txt 11ptG"/>
    <w:basedOn w:val="Normal"/>
    <w:link w:val="FootnoteTextChar"/>
  </w:style>
  <w:style w:type="paragraph" w:customStyle="1" w:styleId="Introduction">
    <w:name w:val="Introduction"/>
    <w:basedOn w:val="BodyText"/>
    <w:qFormat/>
    <w:rsid w:val="00546370"/>
    <w:pPr>
      <w:spacing w:before="140"/>
    </w:pPr>
    <w:rPr>
      <w:b/>
    </w:rPr>
  </w:style>
  <w:style w:type="paragraph" w:styleId="ListBullet">
    <w:name w:val="List Bullet"/>
    <w:basedOn w:val="Normal"/>
    <w:uiPriority w:val="99"/>
    <w:qFormat/>
    <w:rsid w:val="00546370"/>
  </w:style>
  <w:style w:type="paragraph" w:styleId="ListNumber">
    <w:name w:val="List Number"/>
    <w:basedOn w:val="Normal"/>
    <w:qFormat/>
    <w:rsid w:val="00546370"/>
  </w:style>
  <w:style w:type="paragraph" w:customStyle="1" w:styleId="Titreprincipal">
    <w:name w:val="Titre principal"/>
    <w:basedOn w:val="Title"/>
    <w:link w:val="TitleChar"/>
    <w:qFormat/>
    <w:rsid w:val="00EE7DC4"/>
    <w:pPr>
      <w:spacing w:before="560" w:after="280" w:line="280" w:lineRule="atLeast"/>
      <w:jc w:val="left"/>
      <w:outlineLvl w:val="0"/>
    </w:pPr>
    <w:rPr>
      <w:rFonts w:ascii="Arial" w:hAnsi="Arial"/>
      <w:sz w:val="40"/>
      <w:lang w:val="en-US"/>
    </w:rPr>
  </w:style>
  <w:style w:type="paragraph" w:customStyle="1" w:styleId="ZchnZchn1CharCharCarCar">
    <w:name w:val="Zchn Zchn1 Char Char Car Car"/>
    <w:basedOn w:val="Normal"/>
    <w:qFormat/>
    <w:rsid w:val="00D02098"/>
    <w:pPr>
      <w:spacing w:after="160" w:line="240" w:lineRule="exact"/>
      <w:jc w:val="left"/>
    </w:pPr>
    <w:rPr>
      <w:rFonts w:ascii="Tahoma" w:hAnsi="Tahoma"/>
      <w:lang w:val="en-US"/>
    </w:rPr>
  </w:style>
  <w:style w:type="paragraph" w:customStyle="1" w:styleId="Docheader">
    <w:name w:val="Doc header"/>
    <w:basedOn w:val="Normal"/>
    <w:qFormat/>
    <w:rsid w:val="00D02098"/>
    <w:pPr>
      <w:spacing w:after="0" w:line="280" w:lineRule="exact"/>
      <w:jc w:val="left"/>
    </w:pPr>
    <w:rPr>
      <w:sz w:val="24"/>
      <w:lang w:val="en-US"/>
    </w:rPr>
  </w:style>
  <w:style w:type="paragraph" w:styleId="ListParagraph">
    <w:name w:val="List Paragraph"/>
    <w:aliases w:val="_Bullet"/>
    <w:basedOn w:val="Normal"/>
    <w:link w:val="ListParagraphChar"/>
    <w:uiPriority w:val="34"/>
    <w:qFormat/>
    <w:rsid w:val="005556BD"/>
    <w:pPr>
      <w:spacing w:after="200"/>
      <w:ind w:left="720"/>
      <w:contextualSpacing/>
      <w:jc w:val="left"/>
    </w:pPr>
    <w:rPr>
      <w:rFonts w:eastAsia="Calibri"/>
      <w:szCs w:val="22"/>
    </w:rPr>
  </w:style>
  <w:style w:type="paragraph" w:styleId="CommentText">
    <w:name w:val="annotation text"/>
    <w:basedOn w:val="Normal"/>
    <w:link w:val="CommentTextChar"/>
    <w:uiPriority w:val="99"/>
    <w:unhideWhenUsed/>
    <w:qFormat/>
    <w:rsid w:val="001936F6"/>
    <w:pPr>
      <w:spacing w:after="160" w:line="240" w:lineRule="auto"/>
      <w:jc w:val="left"/>
    </w:pPr>
    <w:rPr>
      <w:rFonts w:eastAsia="Calibri"/>
      <w:lang w:val="fi-FI"/>
    </w:rPr>
  </w:style>
  <w:style w:type="paragraph" w:styleId="BalloonText">
    <w:name w:val="Balloon Text"/>
    <w:basedOn w:val="Normal"/>
    <w:link w:val="BalloonTextChar"/>
    <w:uiPriority w:val="99"/>
    <w:qFormat/>
    <w:rsid w:val="001936F6"/>
    <w:pPr>
      <w:spacing w:after="0" w:line="240" w:lineRule="auto"/>
    </w:pPr>
    <w:rPr>
      <w:rFonts w:ascii="Tahoma" w:hAnsi="Tahoma" w:cs="Tahoma"/>
      <w:sz w:val="16"/>
      <w:szCs w:val="16"/>
    </w:rPr>
  </w:style>
  <w:style w:type="paragraph" w:styleId="CommentSubject">
    <w:name w:val="annotation subject"/>
    <w:basedOn w:val="CommentText"/>
    <w:link w:val="CommentSubjectChar"/>
    <w:uiPriority w:val="99"/>
    <w:qFormat/>
    <w:rsid w:val="00E21E1F"/>
    <w:pPr>
      <w:spacing w:after="140"/>
      <w:jc w:val="both"/>
    </w:pPr>
    <w:rPr>
      <w:rFonts w:ascii="Arial" w:eastAsia="Times New Roman" w:hAnsi="Arial"/>
      <w:b/>
      <w:bCs/>
      <w:lang w:val="en-GB"/>
    </w:rPr>
  </w:style>
  <w:style w:type="paragraph" w:customStyle="1" w:styleId="Body">
    <w:name w:val="Body"/>
    <w:qFormat/>
    <w:rsid w:val="001569F7"/>
    <w:pPr>
      <w:spacing w:after="120" w:line="276" w:lineRule="auto"/>
      <w:jc w:val="both"/>
    </w:pPr>
    <w:rPr>
      <w:rFonts w:ascii="Calibri" w:eastAsia="Calibri" w:hAnsi="Calibri" w:cs="Calibri"/>
      <w:color w:val="000000"/>
      <w:sz w:val="22"/>
      <w:szCs w:val="22"/>
      <w:u w:color="000000"/>
      <w:lang w:eastAsia="en-US"/>
    </w:rPr>
  </w:style>
  <w:style w:type="paragraph" w:styleId="Revision">
    <w:name w:val="Revision"/>
    <w:uiPriority w:val="99"/>
    <w:semiHidden/>
    <w:qFormat/>
    <w:rsid w:val="002006C7"/>
    <w:rPr>
      <w:rFonts w:ascii="Calibri" w:hAnsi="Calibri"/>
      <w:color w:val="00000A"/>
      <w:sz w:val="22"/>
      <w:lang w:eastAsia="en-US"/>
    </w:rPr>
  </w:style>
  <w:style w:type="table" w:styleId="LightShading-Accent3">
    <w:name w:val="Light Shading Accent 3"/>
    <w:basedOn w:val="TableNormal"/>
    <w:uiPriority w:val="60"/>
    <w:rsid w:val="002A04D7"/>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ableGrid">
    <w:name w:val="Table Grid"/>
    <w:basedOn w:val="TableNormal"/>
    <w:uiPriority w:val="39"/>
    <w:rsid w:val="00A535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5776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1 Char"/>
    <w:basedOn w:val="DefaultParagraphFont"/>
    <w:link w:val="Footer"/>
    <w:uiPriority w:val="99"/>
    <w:rsid w:val="003B70B7"/>
    <w:rPr>
      <w:rFonts w:ascii="Calibri" w:hAnsi="Calibri"/>
      <w:color w:val="00000A"/>
      <w:sz w:val="18"/>
      <w:lang w:eastAsia="en-US"/>
    </w:rPr>
  </w:style>
  <w:style w:type="character" w:styleId="Hyperlink">
    <w:name w:val="Hyperlink"/>
    <w:basedOn w:val="DefaultParagraphFont"/>
    <w:uiPriority w:val="99"/>
    <w:unhideWhenUsed/>
    <w:rsid w:val="0026017E"/>
    <w:rPr>
      <w:color w:val="0000FF" w:themeColor="hyperlink"/>
      <w:u w:val="single"/>
    </w:rPr>
  </w:style>
  <w:style w:type="paragraph" w:customStyle="1" w:styleId="Heading41">
    <w:name w:val="Heading 41"/>
    <w:basedOn w:val="Normal"/>
    <w:next w:val="Normal"/>
    <w:uiPriority w:val="9"/>
    <w:unhideWhenUsed/>
    <w:qFormat/>
    <w:rsid w:val="00195ADE"/>
    <w:pPr>
      <w:keepNext/>
      <w:keepLines/>
      <w:tabs>
        <w:tab w:val="clear" w:pos="567"/>
      </w:tabs>
      <w:spacing w:line="259" w:lineRule="auto"/>
      <w:outlineLvl w:val="3"/>
    </w:pPr>
    <w:rPr>
      <w:rFonts w:ascii="Arial" w:hAnsi="Arial"/>
      <w:iCs/>
      <w:color w:val="auto"/>
      <w:szCs w:val="22"/>
    </w:rPr>
  </w:style>
  <w:style w:type="paragraph" w:customStyle="1" w:styleId="Heading51">
    <w:name w:val="Heading 51"/>
    <w:basedOn w:val="Normal"/>
    <w:next w:val="Normal"/>
    <w:uiPriority w:val="9"/>
    <w:unhideWhenUsed/>
    <w:rsid w:val="00195ADE"/>
    <w:pPr>
      <w:tabs>
        <w:tab w:val="clear" w:pos="567"/>
      </w:tabs>
      <w:spacing w:before="200" w:after="160" w:line="259" w:lineRule="auto"/>
      <w:outlineLvl w:val="4"/>
    </w:pPr>
    <w:rPr>
      <w:rFonts w:ascii="Arial" w:hAnsi="Arial"/>
      <w:b/>
      <w:bCs/>
      <w:color w:val="7F7F7F"/>
      <w:szCs w:val="22"/>
    </w:rPr>
  </w:style>
  <w:style w:type="paragraph" w:customStyle="1" w:styleId="Heading61">
    <w:name w:val="Heading 61"/>
    <w:basedOn w:val="Normal"/>
    <w:next w:val="Normal"/>
    <w:uiPriority w:val="9"/>
    <w:unhideWhenUsed/>
    <w:rsid w:val="00195ADE"/>
    <w:pPr>
      <w:tabs>
        <w:tab w:val="clear" w:pos="567"/>
      </w:tabs>
      <w:spacing w:after="160" w:line="271" w:lineRule="auto"/>
      <w:outlineLvl w:val="5"/>
    </w:pPr>
    <w:rPr>
      <w:rFonts w:ascii="Arial" w:hAnsi="Arial"/>
      <w:b/>
      <w:bCs/>
      <w:i/>
      <w:iCs/>
      <w:color w:val="7F7F7F"/>
      <w:szCs w:val="22"/>
    </w:rPr>
  </w:style>
  <w:style w:type="paragraph" w:customStyle="1" w:styleId="Heading71">
    <w:name w:val="Heading 71"/>
    <w:basedOn w:val="Normal"/>
    <w:next w:val="Normal"/>
    <w:uiPriority w:val="9"/>
    <w:unhideWhenUsed/>
    <w:rsid w:val="00195ADE"/>
    <w:pPr>
      <w:tabs>
        <w:tab w:val="clear" w:pos="567"/>
      </w:tabs>
      <w:spacing w:after="160" w:line="259" w:lineRule="auto"/>
      <w:outlineLvl w:val="6"/>
    </w:pPr>
    <w:rPr>
      <w:rFonts w:ascii="Arial" w:hAnsi="Arial"/>
      <w:i/>
      <w:iCs/>
      <w:color w:val="auto"/>
      <w:szCs w:val="22"/>
    </w:rPr>
  </w:style>
  <w:style w:type="paragraph" w:customStyle="1" w:styleId="Heading81">
    <w:name w:val="Heading 81"/>
    <w:basedOn w:val="Normal"/>
    <w:next w:val="Normal"/>
    <w:uiPriority w:val="9"/>
    <w:unhideWhenUsed/>
    <w:rsid w:val="00195ADE"/>
    <w:pPr>
      <w:tabs>
        <w:tab w:val="clear" w:pos="567"/>
      </w:tabs>
      <w:spacing w:after="160" w:line="259" w:lineRule="auto"/>
      <w:outlineLvl w:val="7"/>
    </w:pPr>
    <w:rPr>
      <w:rFonts w:ascii="Arial" w:hAnsi="Arial"/>
      <w:color w:val="auto"/>
      <w:sz w:val="20"/>
    </w:rPr>
  </w:style>
  <w:style w:type="paragraph" w:customStyle="1" w:styleId="Heading91">
    <w:name w:val="Heading 91"/>
    <w:basedOn w:val="Normal"/>
    <w:next w:val="Normal"/>
    <w:uiPriority w:val="9"/>
    <w:unhideWhenUsed/>
    <w:rsid w:val="00195ADE"/>
    <w:pPr>
      <w:tabs>
        <w:tab w:val="clear" w:pos="567"/>
      </w:tabs>
      <w:spacing w:after="160" w:line="259" w:lineRule="auto"/>
      <w:outlineLvl w:val="8"/>
    </w:pPr>
    <w:rPr>
      <w:rFonts w:ascii="Arial" w:hAnsi="Arial"/>
      <w:i/>
      <w:iCs/>
      <w:color w:val="auto"/>
      <w:spacing w:val="5"/>
      <w:sz w:val="20"/>
    </w:rPr>
  </w:style>
  <w:style w:type="numbering" w:customStyle="1" w:styleId="NoList1">
    <w:name w:val="No List1"/>
    <w:next w:val="NoList"/>
    <w:uiPriority w:val="99"/>
    <w:semiHidden/>
    <w:unhideWhenUsed/>
    <w:rsid w:val="00195ADE"/>
  </w:style>
  <w:style w:type="character" w:customStyle="1" w:styleId="Heading4Char">
    <w:name w:val="Heading 4 Char"/>
    <w:basedOn w:val="DefaultParagraphFont"/>
    <w:link w:val="Heading4"/>
    <w:uiPriority w:val="9"/>
    <w:rsid w:val="00195ADE"/>
    <w:rPr>
      <w:rFonts w:ascii="Arial" w:eastAsia="Times New Roman" w:hAnsi="Arial" w:cs="Times New Roman"/>
      <w:iCs/>
    </w:rPr>
  </w:style>
  <w:style w:type="paragraph" w:customStyle="1" w:styleId="Subtitle1">
    <w:name w:val="Subtitle1"/>
    <w:basedOn w:val="Normal"/>
    <w:next w:val="Normal"/>
    <w:uiPriority w:val="11"/>
    <w:qFormat/>
    <w:rsid w:val="00195ADE"/>
    <w:pPr>
      <w:numPr>
        <w:ilvl w:val="1"/>
      </w:numPr>
      <w:tabs>
        <w:tab w:val="clear" w:pos="567"/>
      </w:tabs>
      <w:spacing w:after="160" w:line="259" w:lineRule="auto"/>
    </w:pPr>
    <w:rPr>
      <w:rFonts w:ascii="Arial" w:hAnsi="Arial"/>
      <w:b/>
      <w:color w:val="000000"/>
      <w:sz w:val="24"/>
      <w:szCs w:val="22"/>
    </w:rPr>
  </w:style>
  <w:style w:type="character" w:customStyle="1" w:styleId="SubtitleChar">
    <w:name w:val="Subtitle Char"/>
    <w:basedOn w:val="DefaultParagraphFont"/>
    <w:link w:val="Subtitle"/>
    <w:uiPriority w:val="11"/>
    <w:rsid w:val="00195ADE"/>
    <w:rPr>
      <w:rFonts w:ascii="Arial" w:eastAsia="Times New Roman" w:hAnsi="Arial"/>
      <w:b/>
      <w:color w:val="000000"/>
      <w:sz w:val="24"/>
    </w:rPr>
  </w:style>
  <w:style w:type="character" w:styleId="SubtleEmphasis">
    <w:name w:val="Subtle Emphasis"/>
    <w:uiPriority w:val="19"/>
    <w:rsid w:val="00195ADE"/>
    <w:rPr>
      <w:i/>
      <w:iCs/>
    </w:rPr>
  </w:style>
  <w:style w:type="paragraph" w:styleId="Quote">
    <w:name w:val="Quote"/>
    <w:basedOn w:val="Normal"/>
    <w:next w:val="Normal"/>
    <w:link w:val="QuoteChar"/>
    <w:uiPriority w:val="29"/>
    <w:qFormat/>
    <w:rsid w:val="00195ADE"/>
    <w:pPr>
      <w:tabs>
        <w:tab w:val="clear" w:pos="567"/>
      </w:tabs>
      <w:spacing w:after="160" w:line="259" w:lineRule="auto"/>
      <w:ind w:left="357" w:right="357"/>
    </w:pPr>
    <w:rPr>
      <w:rFonts w:ascii="Arial" w:eastAsia="Arial" w:hAnsi="Arial"/>
      <w:i/>
      <w:iCs/>
      <w:color w:val="auto"/>
      <w:szCs w:val="22"/>
    </w:rPr>
  </w:style>
  <w:style w:type="character" w:customStyle="1" w:styleId="QuoteChar">
    <w:name w:val="Quote Char"/>
    <w:basedOn w:val="DefaultParagraphFont"/>
    <w:link w:val="Quote"/>
    <w:uiPriority w:val="29"/>
    <w:rsid w:val="00195ADE"/>
    <w:rPr>
      <w:rFonts w:ascii="Arial" w:eastAsia="Arial" w:hAnsi="Arial"/>
      <w:i/>
      <w:iCs/>
      <w:sz w:val="22"/>
      <w:szCs w:val="22"/>
      <w:lang w:eastAsia="en-US"/>
    </w:rPr>
  </w:style>
  <w:style w:type="paragraph" w:styleId="TOC1">
    <w:name w:val="toc 1"/>
    <w:basedOn w:val="Normal"/>
    <w:next w:val="Normal"/>
    <w:autoRedefine/>
    <w:uiPriority w:val="39"/>
    <w:unhideWhenUsed/>
    <w:qFormat/>
    <w:rsid w:val="00195ADE"/>
    <w:pPr>
      <w:tabs>
        <w:tab w:val="clear" w:pos="567"/>
      </w:tabs>
      <w:spacing w:line="259" w:lineRule="auto"/>
    </w:pPr>
    <w:rPr>
      <w:rFonts w:ascii="Arial" w:eastAsia="Arial" w:hAnsi="Arial"/>
      <w:b/>
      <w:caps/>
      <w:color w:val="auto"/>
      <w:szCs w:val="22"/>
    </w:rPr>
  </w:style>
  <w:style w:type="paragraph" w:styleId="TOC2">
    <w:name w:val="toc 2"/>
    <w:basedOn w:val="Normal"/>
    <w:next w:val="Normal"/>
    <w:autoRedefine/>
    <w:uiPriority w:val="39"/>
    <w:unhideWhenUsed/>
    <w:rsid w:val="00195ADE"/>
    <w:pPr>
      <w:tabs>
        <w:tab w:val="clear" w:pos="567"/>
      </w:tabs>
      <w:spacing w:line="259" w:lineRule="auto"/>
      <w:ind w:left="221"/>
    </w:pPr>
    <w:rPr>
      <w:rFonts w:ascii="Arial" w:eastAsia="Arial" w:hAnsi="Arial"/>
      <w:b/>
      <w:color w:val="auto"/>
      <w:szCs w:val="22"/>
    </w:rPr>
  </w:style>
  <w:style w:type="paragraph" w:styleId="TOC3">
    <w:name w:val="toc 3"/>
    <w:basedOn w:val="Normal"/>
    <w:next w:val="Normal"/>
    <w:autoRedefine/>
    <w:uiPriority w:val="39"/>
    <w:unhideWhenUsed/>
    <w:rsid w:val="00195ADE"/>
    <w:pPr>
      <w:tabs>
        <w:tab w:val="clear" w:pos="567"/>
      </w:tabs>
      <w:spacing w:line="259" w:lineRule="auto"/>
      <w:ind w:left="442"/>
    </w:pPr>
    <w:rPr>
      <w:rFonts w:ascii="Arial" w:eastAsia="Arial" w:hAnsi="Arial"/>
      <w:i/>
      <w:color w:val="auto"/>
      <w:szCs w:val="22"/>
    </w:rPr>
  </w:style>
  <w:style w:type="paragraph" w:styleId="TOC4">
    <w:name w:val="toc 4"/>
    <w:basedOn w:val="Normal"/>
    <w:next w:val="Normal"/>
    <w:autoRedefine/>
    <w:uiPriority w:val="39"/>
    <w:semiHidden/>
    <w:unhideWhenUsed/>
    <w:rsid w:val="00195ADE"/>
    <w:pPr>
      <w:tabs>
        <w:tab w:val="clear" w:pos="567"/>
      </w:tabs>
      <w:spacing w:line="259" w:lineRule="auto"/>
      <w:ind w:left="658"/>
    </w:pPr>
    <w:rPr>
      <w:rFonts w:ascii="Arial" w:eastAsia="Arial" w:hAnsi="Arial"/>
      <w:color w:val="auto"/>
      <w:szCs w:val="22"/>
    </w:rPr>
  </w:style>
  <w:style w:type="character" w:customStyle="1" w:styleId="EndnoteTextChar">
    <w:name w:val="Endnote Text Char"/>
    <w:basedOn w:val="DefaultParagraphFont"/>
    <w:link w:val="EndnoteText"/>
    <w:uiPriority w:val="99"/>
    <w:semiHidden/>
    <w:rsid w:val="00195ADE"/>
    <w:rPr>
      <w:rFonts w:ascii="Calibri" w:hAnsi="Calibri"/>
      <w:color w:val="00000A"/>
      <w:sz w:val="22"/>
      <w:lang w:eastAsia="en-US"/>
    </w:rPr>
  </w:style>
  <w:style w:type="character" w:styleId="EndnoteReference">
    <w:name w:val="endnote reference"/>
    <w:basedOn w:val="DefaultParagraphFont"/>
    <w:uiPriority w:val="99"/>
    <w:semiHidden/>
    <w:unhideWhenUsed/>
    <w:rsid w:val="00195ADE"/>
    <w:rPr>
      <w:vertAlign w:val="superscript"/>
    </w:rPr>
  </w:style>
  <w:style w:type="character" w:customStyle="1" w:styleId="HeaderChar">
    <w:name w:val="Header Char"/>
    <w:basedOn w:val="DefaultParagraphFont"/>
    <w:link w:val="Header"/>
    <w:uiPriority w:val="99"/>
    <w:rsid w:val="00195ADE"/>
    <w:rPr>
      <w:rFonts w:ascii="Calibri" w:hAnsi="Calibri"/>
      <w:color w:val="00000A"/>
      <w:sz w:val="18"/>
      <w:lang w:eastAsia="en-US"/>
    </w:rPr>
  </w:style>
  <w:style w:type="character" w:customStyle="1" w:styleId="Heading5Char">
    <w:name w:val="Heading 5 Char"/>
    <w:basedOn w:val="DefaultParagraphFont"/>
    <w:link w:val="Heading5"/>
    <w:uiPriority w:val="9"/>
    <w:rsid w:val="00195ADE"/>
    <w:rPr>
      <w:rFonts w:ascii="Arial" w:eastAsia="Times New Roman" w:hAnsi="Arial" w:cs="Times New Roman"/>
      <w:b/>
      <w:bCs/>
      <w:color w:val="7F7F7F"/>
    </w:rPr>
  </w:style>
  <w:style w:type="character" w:customStyle="1" w:styleId="Heading6Char">
    <w:name w:val="Heading 6 Char"/>
    <w:basedOn w:val="DefaultParagraphFont"/>
    <w:link w:val="Heading6"/>
    <w:uiPriority w:val="9"/>
    <w:rsid w:val="00195ADE"/>
    <w:rPr>
      <w:rFonts w:ascii="Arial" w:eastAsia="Times New Roman" w:hAnsi="Arial" w:cs="Times New Roman"/>
      <w:b/>
      <w:bCs/>
      <w:i/>
      <w:iCs/>
      <w:color w:val="7F7F7F"/>
    </w:rPr>
  </w:style>
  <w:style w:type="character" w:customStyle="1" w:styleId="Heading7Char">
    <w:name w:val="Heading 7 Char"/>
    <w:basedOn w:val="DefaultParagraphFont"/>
    <w:link w:val="Heading7"/>
    <w:uiPriority w:val="9"/>
    <w:rsid w:val="00195ADE"/>
    <w:rPr>
      <w:rFonts w:ascii="Arial" w:eastAsia="Times New Roman" w:hAnsi="Arial" w:cs="Times New Roman"/>
      <w:i/>
      <w:iCs/>
    </w:rPr>
  </w:style>
  <w:style w:type="character" w:customStyle="1" w:styleId="Heading8Char">
    <w:name w:val="Heading 8 Char"/>
    <w:basedOn w:val="DefaultParagraphFont"/>
    <w:link w:val="Heading8"/>
    <w:uiPriority w:val="9"/>
    <w:rsid w:val="00195ADE"/>
    <w:rPr>
      <w:rFonts w:ascii="Arial" w:eastAsia="Times New Roman" w:hAnsi="Arial" w:cs="Times New Roman"/>
      <w:sz w:val="20"/>
      <w:szCs w:val="20"/>
    </w:rPr>
  </w:style>
  <w:style w:type="character" w:customStyle="1" w:styleId="Heading9Char">
    <w:name w:val="Heading 9 Char"/>
    <w:basedOn w:val="DefaultParagraphFont"/>
    <w:link w:val="Heading9"/>
    <w:uiPriority w:val="9"/>
    <w:rsid w:val="00195ADE"/>
    <w:rPr>
      <w:rFonts w:ascii="Arial" w:eastAsia="Times New Roman" w:hAnsi="Arial" w:cs="Times New Roman"/>
      <w:i/>
      <w:iCs/>
      <w:spacing w:val="5"/>
      <w:sz w:val="20"/>
      <w:szCs w:val="20"/>
    </w:rPr>
  </w:style>
  <w:style w:type="paragraph" w:styleId="IntenseQuote">
    <w:name w:val="Intense Quote"/>
    <w:basedOn w:val="Normal"/>
    <w:next w:val="Normal"/>
    <w:link w:val="IntenseQuoteChar"/>
    <w:uiPriority w:val="30"/>
    <w:qFormat/>
    <w:rsid w:val="00195ADE"/>
    <w:pPr>
      <w:pBdr>
        <w:bottom w:val="single" w:sz="4" w:space="1" w:color="auto"/>
      </w:pBdr>
      <w:tabs>
        <w:tab w:val="clear" w:pos="567"/>
      </w:tabs>
      <w:spacing w:before="200" w:after="280" w:line="259" w:lineRule="auto"/>
      <w:ind w:left="1008" w:right="1152"/>
    </w:pPr>
    <w:rPr>
      <w:rFonts w:ascii="Arial" w:eastAsia="Arial" w:hAnsi="Arial"/>
      <w:b/>
      <w:bCs/>
      <w:i/>
      <w:iCs/>
      <w:color w:val="auto"/>
      <w:szCs w:val="22"/>
    </w:rPr>
  </w:style>
  <w:style w:type="character" w:customStyle="1" w:styleId="IntenseQuoteChar">
    <w:name w:val="Intense Quote Char"/>
    <w:basedOn w:val="DefaultParagraphFont"/>
    <w:link w:val="IntenseQuote"/>
    <w:uiPriority w:val="30"/>
    <w:rsid w:val="00195ADE"/>
    <w:rPr>
      <w:rFonts w:ascii="Arial" w:eastAsia="Arial" w:hAnsi="Arial"/>
      <w:b/>
      <w:bCs/>
      <w:i/>
      <w:iCs/>
      <w:sz w:val="22"/>
      <w:szCs w:val="22"/>
      <w:lang w:eastAsia="en-US"/>
    </w:rPr>
  </w:style>
  <w:style w:type="character" w:styleId="IntenseReference">
    <w:name w:val="Intense Reference"/>
    <w:uiPriority w:val="32"/>
    <w:qFormat/>
    <w:rsid w:val="00195ADE"/>
    <w:rPr>
      <w:smallCaps/>
      <w:spacing w:val="5"/>
      <w:u w:val="single"/>
    </w:rPr>
  </w:style>
  <w:style w:type="character" w:styleId="SubtleReference">
    <w:name w:val="Subtle Reference"/>
    <w:uiPriority w:val="31"/>
    <w:rsid w:val="00195ADE"/>
    <w:rPr>
      <w:smallCaps/>
    </w:rPr>
  </w:style>
  <w:style w:type="character" w:styleId="Strong">
    <w:name w:val="Strong"/>
    <w:uiPriority w:val="22"/>
    <w:qFormat/>
    <w:rsid w:val="00195ADE"/>
    <w:rPr>
      <w:b/>
      <w:bCs/>
    </w:rPr>
  </w:style>
  <w:style w:type="paragraph" w:customStyle="1" w:styleId="ListBulletStyle">
    <w:name w:val="List Bullet Style"/>
    <w:basedOn w:val="ListBullet"/>
    <w:qFormat/>
    <w:rsid w:val="00195ADE"/>
    <w:pPr>
      <w:numPr>
        <w:numId w:val="16"/>
      </w:numPr>
      <w:ind w:left="0" w:firstLine="0"/>
    </w:pPr>
  </w:style>
  <w:style w:type="paragraph" w:styleId="NoSpacing">
    <w:name w:val="No Spacing"/>
    <w:basedOn w:val="Normal"/>
    <w:link w:val="NoSpacingChar"/>
    <w:uiPriority w:val="1"/>
    <w:rsid w:val="00195ADE"/>
    <w:pPr>
      <w:tabs>
        <w:tab w:val="clear" w:pos="567"/>
      </w:tabs>
      <w:spacing w:after="160" w:line="259" w:lineRule="auto"/>
    </w:pPr>
    <w:rPr>
      <w:rFonts w:ascii="Arial" w:eastAsia="Arial" w:hAnsi="Arial"/>
      <w:color w:val="auto"/>
      <w:szCs w:val="22"/>
    </w:rPr>
  </w:style>
  <w:style w:type="character" w:styleId="BookTitle">
    <w:name w:val="Book Title"/>
    <w:uiPriority w:val="33"/>
    <w:rsid w:val="00195ADE"/>
    <w:rPr>
      <w:i/>
      <w:iCs/>
      <w:smallCaps/>
      <w:spacing w:val="5"/>
    </w:rPr>
  </w:style>
  <w:style w:type="character" w:customStyle="1" w:styleId="NoSpacingChar">
    <w:name w:val="No Spacing Char"/>
    <w:basedOn w:val="DefaultParagraphFont"/>
    <w:link w:val="NoSpacing"/>
    <w:uiPriority w:val="1"/>
    <w:rsid w:val="00195ADE"/>
    <w:rPr>
      <w:rFonts w:ascii="Arial" w:eastAsia="Arial" w:hAnsi="Arial"/>
      <w:sz w:val="22"/>
      <w:szCs w:val="22"/>
      <w:lang w:eastAsia="en-US"/>
    </w:rPr>
  </w:style>
  <w:style w:type="character" w:styleId="IntenseEmphasis">
    <w:name w:val="Intense Emphasis"/>
    <w:uiPriority w:val="21"/>
    <w:qFormat/>
    <w:rsid w:val="00195ADE"/>
    <w:rPr>
      <w:b/>
      <w:bCs/>
    </w:rPr>
  </w:style>
  <w:style w:type="paragraph" w:customStyle="1" w:styleId="TOCHeading1">
    <w:name w:val="TOC Heading1"/>
    <w:basedOn w:val="Heading1"/>
    <w:next w:val="Normal"/>
    <w:uiPriority w:val="39"/>
    <w:semiHidden/>
    <w:unhideWhenUsed/>
    <w:qFormat/>
    <w:rsid w:val="00195ADE"/>
    <w:pPr>
      <w:keepLines/>
      <w:tabs>
        <w:tab w:val="clear" w:pos="567"/>
      </w:tabs>
      <w:spacing w:before="480" w:after="0" w:line="259" w:lineRule="auto"/>
      <w:jc w:val="both"/>
      <w:outlineLvl w:val="9"/>
    </w:pPr>
    <w:rPr>
      <w:rFonts w:eastAsia="Times New Roman" w:cs="Times New Roman"/>
      <w:b/>
      <w:bCs/>
      <w:color w:val="365F91"/>
      <w:lang w:val="en-GB"/>
    </w:rPr>
  </w:style>
  <w:style w:type="table" w:customStyle="1" w:styleId="TableGrid11">
    <w:name w:val="Table Grid11"/>
    <w:basedOn w:val="TableNormal"/>
    <w:next w:val="TableGrid"/>
    <w:uiPriority w:val="59"/>
    <w:rsid w:val="00195ADE"/>
    <w:rPr>
      <w:rFonts w:ascii="Arial" w:eastAsia="MS Mincho" w:hAnsi="Arial"/>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5ADE"/>
    <w:pPr>
      <w:tabs>
        <w:tab w:val="clear" w:pos="567"/>
      </w:tabs>
      <w:spacing w:before="100" w:beforeAutospacing="1" w:after="100" w:afterAutospacing="1" w:line="240" w:lineRule="auto"/>
    </w:pPr>
    <w:rPr>
      <w:rFonts w:ascii="Times New Roman" w:hAnsi="Times New Roman"/>
      <w:color w:val="auto"/>
      <w:sz w:val="24"/>
      <w:szCs w:val="24"/>
      <w:lang w:eastAsia="en-GB"/>
    </w:rPr>
  </w:style>
  <w:style w:type="paragraph" w:customStyle="1" w:styleId="TableParagraph">
    <w:name w:val="Table Paragraph"/>
    <w:basedOn w:val="Normal"/>
    <w:uiPriority w:val="1"/>
    <w:qFormat/>
    <w:rsid w:val="00195ADE"/>
    <w:pPr>
      <w:widowControl w:val="0"/>
      <w:tabs>
        <w:tab w:val="clear" w:pos="567"/>
      </w:tabs>
      <w:autoSpaceDE w:val="0"/>
      <w:autoSpaceDN w:val="0"/>
      <w:spacing w:after="0" w:line="240" w:lineRule="auto"/>
      <w:ind w:left="103"/>
      <w:jc w:val="left"/>
    </w:pPr>
    <w:rPr>
      <w:rFonts w:eastAsia="Calibri" w:cs="Calibri"/>
      <w:color w:val="auto"/>
      <w:szCs w:val="22"/>
      <w:lang w:val="en-US"/>
    </w:rPr>
  </w:style>
  <w:style w:type="character" w:styleId="UnresolvedMention">
    <w:name w:val="Unresolved Mention"/>
    <w:basedOn w:val="DefaultParagraphFont"/>
    <w:uiPriority w:val="99"/>
    <w:semiHidden/>
    <w:unhideWhenUsed/>
    <w:rsid w:val="00195ADE"/>
    <w:rPr>
      <w:color w:val="605E5C"/>
      <w:shd w:val="clear" w:color="auto" w:fill="E1DFDD"/>
    </w:rPr>
  </w:style>
  <w:style w:type="character" w:styleId="Mention">
    <w:name w:val="Mention"/>
    <w:basedOn w:val="DefaultParagraphFont"/>
    <w:uiPriority w:val="99"/>
    <w:unhideWhenUsed/>
    <w:rsid w:val="00195ADE"/>
    <w:rPr>
      <w:color w:val="2B579A"/>
      <w:shd w:val="clear" w:color="auto" w:fill="E1DFDD"/>
    </w:rPr>
  </w:style>
  <w:style w:type="character" w:customStyle="1" w:styleId="Heading4Char1">
    <w:name w:val="Heading 4 Char1"/>
    <w:basedOn w:val="DefaultParagraphFont"/>
    <w:semiHidden/>
    <w:rsid w:val="00195ADE"/>
    <w:rPr>
      <w:rFonts w:asciiTheme="majorHAnsi" w:eastAsiaTheme="majorEastAsia" w:hAnsiTheme="majorHAnsi" w:cstheme="majorBidi"/>
      <w:i/>
      <w:iCs/>
      <w:color w:val="365F91" w:themeColor="accent1" w:themeShade="BF"/>
      <w:sz w:val="22"/>
      <w:lang w:eastAsia="en-US"/>
    </w:rPr>
  </w:style>
  <w:style w:type="paragraph" w:styleId="Subtitle">
    <w:name w:val="Subtitle"/>
    <w:basedOn w:val="Normal"/>
    <w:next w:val="Normal"/>
    <w:link w:val="SubtitleChar"/>
    <w:uiPriority w:val="11"/>
    <w:qFormat/>
    <w:rsid w:val="00195ADE"/>
    <w:pPr>
      <w:numPr>
        <w:ilvl w:val="1"/>
      </w:numPr>
      <w:spacing w:after="160"/>
    </w:pPr>
    <w:rPr>
      <w:rFonts w:ascii="Arial" w:hAnsi="Arial"/>
      <w:b/>
      <w:color w:val="000000"/>
      <w:sz w:val="24"/>
      <w:lang w:eastAsia="en-GB"/>
    </w:rPr>
  </w:style>
  <w:style w:type="character" w:customStyle="1" w:styleId="SubtitleChar1">
    <w:name w:val="Subtitle Char1"/>
    <w:basedOn w:val="DefaultParagraphFont"/>
    <w:rsid w:val="00195ADE"/>
    <w:rPr>
      <w:rFonts w:asciiTheme="minorHAnsi" w:eastAsiaTheme="minorEastAsia" w:hAnsiTheme="minorHAnsi" w:cstheme="minorBidi"/>
      <w:color w:val="5A5A5A" w:themeColor="text1" w:themeTint="A5"/>
      <w:spacing w:val="15"/>
      <w:sz w:val="22"/>
      <w:szCs w:val="22"/>
      <w:lang w:eastAsia="en-US"/>
    </w:rPr>
  </w:style>
  <w:style w:type="character" w:customStyle="1" w:styleId="Heading5Char1">
    <w:name w:val="Heading 5 Char1"/>
    <w:basedOn w:val="DefaultParagraphFont"/>
    <w:semiHidden/>
    <w:rsid w:val="00195ADE"/>
    <w:rPr>
      <w:rFonts w:asciiTheme="majorHAnsi" w:eastAsiaTheme="majorEastAsia" w:hAnsiTheme="majorHAnsi" w:cstheme="majorBidi"/>
      <w:color w:val="365F91" w:themeColor="accent1" w:themeShade="BF"/>
      <w:sz w:val="22"/>
      <w:lang w:eastAsia="en-US"/>
    </w:rPr>
  </w:style>
  <w:style w:type="character" w:customStyle="1" w:styleId="Heading6Char1">
    <w:name w:val="Heading 6 Char1"/>
    <w:basedOn w:val="DefaultParagraphFont"/>
    <w:semiHidden/>
    <w:rsid w:val="00195ADE"/>
    <w:rPr>
      <w:rFonts w:asciiTheme="majorHAnsi" w:eastAsiaTheme="majorEastAsia" w:hAnsiTheme="majorHAnsi" w:cstheme="majorBidi"/>
      <w:color w:val="243F60" w:themeColor="accent1" w:themeShade="7F"/>
      <w:sz w:val="22"/>
      <w:lang w:eastAsia="en-US"/>
    </w:rPr>
  </w:style>
  <w:style w:type="character" w:customStyle="1" w:styleId="Heading7Char1">
    <w:name w:val="Heading 7 Char1"/>
    <w:basedOn w:val="DefaultParagraphFont"/>
    <w:semiHidden/>
    <w:rsid w:val="00195ADE"/>
    <w:rPr>
      <w:rFonts w:asciiTheme="majorHAnsi" w:eastAsiaTheme="majorEastAsia" w:hAnsiTheme="majorHAnsi" w:cstheme="majorBidi"/>
      <w:i/>
      <w:iCs/>
      <w:color w:val="243F60" w:themeColor="accent1" w:themeShade="7F"/>
      <w:sz w:val="22"/>
      <w:lang w:eastAsia="en-US"/>
    </w:rPr>
  </w:style>
  <w:style w:type="character" w:customStyle="1" w:styleId="Heading8Char1">
    <w:name w:val="Heading 8 Char1"/>
    <w:basedOn w:val="DefaultParagraphFont"/>
    <w:semiHidden/>
    <w:rsid w:val="00195ADE"/>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basedOn w:val="DefaultParagraphFont"/>
    <w:semiHidden/>
    <w:rsid w:val="00195ADE"/>
    <w:rPr>
      <w:rFonts w:asciiTheme="majorHAnsi" w:eastAsiaTheme="majorEastAsia" w:hAnsiTheme="majorHAnsi" w:cstheme="majorBidi"/>
      <w:i/>
      <w:iCs/>
      <w:color w:val="272727" w:themeColor="text1" w:themeTint="D8"/>
      <w:sz w:val="21"/>
      <w:szCs w:val="21"/>
      <w:lang w:eastAsia="en-US"/>
    </w:rPr>
  </w:style>
  <w:style w:type="table" w:customStyle="1" w:styleId="TableGrid12">
    <w:name w:val="Table Grid12"/>
    <w:basedOn w:val="TableNormal"/>
    <w:next w:val="TableGrid"/>
    <w:uiPriority w:val="59"/>
    <w:rsid w:val="00F32F3E"/>
    <w:rPr>
      <w:rFonts w:ascii="Calibri" w:eastAsia="MS Mincho" w:hAnsi="Calibr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45F89"/>
  </w:style>
  <w:style w:type="character" w:customStyle="1" w:styleId="BodyTextChar">
    <w:name w:val="Body Text Char"/>
    <w:basedOn w:val="DefaultParagraphFont"/>
    <w:link w:val="BodyText"/>
    <w:rsid w:val="00645F89"/>
    <w:rPr>
      <w:rFonts w:ascii="Calibri" w:hAnsi="Calibri"/>
      <w:color w:val="00000A"/>
      <w:sz w:val="22"/>
      <w:lang w:eastAsia="en-US"/>
    </w:rPr>
  </w:style>
  <w:style w:type="table" w:customStyle="1" w:styleId="TableGrid13">
    <w:name w:val="Table Grid13"/>
    <w:basedOn w:val="TableNormal"/>
    <w:next w:val="TableGrid"/>
    <w:uiPriority w:val="59"/>
    <w:rsid w:val="00645F89"/>
    <w:rPr>
      <w:rFonts w:ascii="Aptos" w:eastAsia="MS Mincho" w:hAnsi="Aptos"/>
      <w:bCs/>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45F89"/>
    <w:rPr>
      <w:rFonts w:ascii="Calibri" w:eastAsia="Aptos" w:hAnsi="Calibri" w:cs="Calibri"/>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645F89"/>
    <w:rPr>
      <w:rFonts w:ascii="Segoe UI" w:hAnsi="Segoe UI" w:cs="Segoe UI" w:hint="default"/>
      <w:sz w:val="18"/>
      <w:szCs w:val="18"/>
    </w:rPr>
  </w:style>
  <w:style w:type="paragraph" w:customStyle="1" w:styleId="pf0">
    <w:name w:val="pf0"/>
    <w:basedOn w:val="Normal"/>
    <w:rsid w:val="00645F89"/>
    <w:pPr>
      <w:tabs>
        <w:tab w:val="clear" w:pos="567"/>
      </w:tabs>
      <w:spacing w:before="100" w:beforeAutospacing="1" w:after="100" w:afterAutospacing="1" w:line="240" w:lineRule="auto"/>
      <w:jc w:val="left"/>
    </w:pPr>
    <w:rPr>
      <w:rFonts w:ascii="Times New Roman" w:hAnsi="Times New Roman"/>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jpeg"/><Relationship Id="rId18" Type="http://schemas.openxmlformats.org/officeDocument/2006/relationships/hyperlink" Target="https://oap.ospar.org/en/ospar-assessments/quality-status-reports/qsr-2023/indicator-assessments/marine-bird-abundance" TargetMode="External"/><Relationship Id="rId26" Type="http://schemas.openxmlformats.org/officeDocument/2006/relationships/hyperlink" Target="https://ifcn.madeira.gov.pt/images/Doc_Artigos/Biodiversidade/Projetos/lips/Relatorios/planosacao14esp.pdf" TargetMode="External"/><Relationship Id="rId3" Type="http://schemas.openxmlformats.org/officeDocument/2006/relationships/styles" Target="styles.xml"/><Relationship Id="rId21" Type="http://schemas.openxmlformats.org/officeDocument/2006/relationships/hyperlink" Target="https://oap.ospar.org/en/ospar-assessments/quality-status-reports/qsr-2023/indicator-assessments/marine-bird-breeding-productivity/"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ospar.org/documents?d=32894" TargetMode="External"/><Relationship Id="rId25" Type="http://schemas.openxmlformats.org/officeDocument/2006/relationships/hyperlink" Target="http://roseatetern.org/uploads/3/5/8/0/35804201/caw_-rspb_roseate_project-final_report-_version_nov_14-_2019.pdf" TargetMode="External"/><Relationship Id="rId2" Type="http://schemas.openxmlformats.org/officeDocument/2006/relationships/numbering" Target="numbering.xml"/><Relationship Id="rId16" Type="http://schemas.openxmlformats.org/officeDocument/2006/relationships/hyperlink" Target="https://www.ospar.org/work-areas/bdc/species-habitats/marine-birds" TargetMode="External"/><Relationship Id="rId20" Type="http://schemas.openxmlformats.org/officeDocument/2006/relationships/hyperlink" Target="https://oap.ospar.org/en/ospar-assessments/quality-status-reports/qsr-2023/indicator-assessments/marine-bird-abundanc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yperlink" Target="https://www.ospar.org/site/assets/files/44255/roseate_tern.pd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doi.org/10.15468/ibm5hb" TargetMode="External"/><Relationship Id="rId28" Type="http://schemas.openxmlformats.org/officeDocument/2006/relationships/header" Target="header2.xml"/><Relationship Id="rId10" Type="http://schemas.openxmlformats.org/officeDocument/2006/relationships/hyperlink" Target="https://oap.ospar.org/en/ospar-assessments/quality-status-reports/qsr-2023/" TargetMode="External"/><Relationship Id="rId19" Type="http://schemas.openxmlformats.org/officeDocument/2006/relationships/hyperlink" Target="https://doi.org/10.15468/ibm5hb"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5.jpeg"/><Relationship Id="rId22" Type="http://schemas.openxmlformats.org/officeDocument/2006/relationships/hyperlink" Target="https://oap.ospar.org/en/ospar-assessments/committee-assessments/biodiversity-committee/status-ospar-network-marine-protected-areas/assessment-reports-mpa/mpa-2021" TargetMode="External"/><Relationship Id="rId27" Type="http://schemas.openxmlformats.org/officeDocument/2006/relationships/header" Target="head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A9C7C-3590-4EDB-92D2-8694682A6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1176</TotalTime>
  <Pages>19</Pages>
  <Words>5450</Words>
  <Characters>31068</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OSPAR_MEETING_DOCUMENT</vt:lpstr>
      <vt:lpstr>OSPAR_MEETING_DOCUMENT</vt:lpstr>
    </vt:vector>
  </TitlesOfParts>
  <Company>.</Company>
  <LinksUpToDate>false</LinksUpToDate>
  <CharactersWithSpaces>36446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OSPAR_MEETING_DOCUMENT</dc:title>
  <dc:subject/>
  <dc:creator>Philip Stamp</dc:creator>
  <cp:keywords/>
  <dc:description/>
  <cp:lastModifiedBy>Eleanor Dening</cp:lastModifiedBy>
  <cp:revision>5</cp:revision>
  <dcterms:created xsi:type="dcterms:W3CDTF">2025-03-20T10:09:00Z</dcterms:created>
  <dcterms:modified xsi:type="dcterms:W3CDTF">2025-10-15T15:49:00Z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